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26C37" w:rsidRPr="00CD15D1" w:rsidRDefault="00626C37" w:rsidP="00CD15D1">
      <w:pPr>
        <w:pStyle w:val="Bezodstpw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podstawowa jednostka organizacyjna:</w:t>
      </w:r>
      <w:r w:rsidR="00A71837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A14FA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…………………………………………………….</w:t>
      </w:r>
    </w:p>
    <w:p w:rsidR="00626C37" w:rsidRPr="00CD15D1" w:rsidRDefault="00626C37" w:rsidP="00CD15D1">
      <w:pPr>
        <w:pStyle w:val="Bezodstpw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kierunek studiów: </w:t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filologia polska</w:t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:rsidR="00626C37" w:rsidRPr="00CD15D1" w:rsidRDefault="00626C37" w:rsidP="00CD15D1">
      <w:pPr>
        <w:pStyle w:val="Bezodstpw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dyscyplina</w:t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: wiodąca – językoznawstwo, poboczna - literaturoznawstwo</w:t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CF167F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:rsidR="00626C37" w:rsidRPr="00CD15D1" w:rsidRDefault="00626C37" w:rsidP="00CD15D1">
      <w:pPr>
        <w:pStyle w:val="Bezodstpw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profil kształcenia</w:t>
      </w:r>
      <w:r w:rsidR="00A71837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: ogólnoakademicki</w:t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:rsidR="00626C37" w:rsidRPr="00CD15D1" w:rsidRDefault="00626C37" w:rsidP="00CD15D1">
      <w:pPr>
        <w:pStyle w:val="Bezodstpw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poziom kształcenia:</w:t>
      </w:r>
      <w:r w:rsidR="002A2552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studia I stopnia</w:t>
      </w:r>
      <w:r w:rsidR="00A71837"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p w:rsidR="00626C37" w:rsidRPr="00CD15D1" w:rsidRDefault="00626C37" w:rsidP="00CD15D1">
      <w:pPr>
        <w:pStyle w:val="Bezodstpw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numer studiów</w:t>
      </w:r>
      <w:proofErr w:type="gramStart"/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*:…</w:t>
      </w:r>
      <w:proofErr w:type="gramEnd"/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………………………………………………</w:t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0"/>
        <w:gridCol w:w="5529"/>
        <w:gridCol w:w="5528"/>
      </w:tblGrid>
      <w:tr w:rsidR="002852B4" w:rsidRPr="00CD15D1" w:rsidTr="00CF167F">
        <w:tc>
          <w:tcPr>
            <w:tcW w:w="2830" w:type="dxa"/>
          </w:tcPr>
          <w:p w:rsidR="00A71837" w:rsidRPr="00CD15D1" w:rsidRDefault="00A71837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Zajęcia</w:t>
            </w:r>
          </w:p>
        </w:tc>
        <w:tc>
          <w:tcPr>
            <w:tcW w:w="5529" w:type="dxa"/>
          </w:tcPr>
          <w:p w:rsidR="00A71837" w:rsidRPr="00CD15D1" w:rsidRDefault="00A71837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Kierunkowe efekty uczenia się </w:t>
            </w:r>
          </w:p>
        </w:tc>
        <w:tc>
          <w:tcPr>
            <w:tcW w:w="5528" w:type="dxa"/>
          </w:tcPr>
          <w:p w:rsidR="00A71837" w:rsidRPr="00CD15D1" w:rsidRDefault="00A71837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Treści programowe</w:t>
            </w:r>
          </w:p>
        </w:tc>
      </w:tr>
      <w:tr w:rsidR="00514356" w:rsidRPr="00CD15D1" w:rsidTr="00CF167F">
        <w:tc>
          <w:tcPr>
            <w:tcW w:w="2830" w:type="dxa"/>
          </w:tcPr>
          <w:p w:rsidR="00514356" w:rsidRPr="00CD15D1" w:rsidRDefault="00514356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Literatura staropolska</w:t>
            </w:r>
          </w:p>
        </w:tc>
        <w:tc>
          <w:tcPr>
            <w:tcW w:w="5529" w:type="dxa"/>
          </w:tcPr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6SUO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</w:tc>
        <w:tc>
          <w:tcPr>
            <w:tcW w:w="5528" w:type="dxa"/>
            <w:shd w:val="clear" w:color="auto" w:fill="auto"/>
          </w:tcPr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Specyfika polskiej literatury średniowiecza; Literatura renesansu – periodyzacja, poezja nowołacińska, przedstawiciele dzieła, główne problemy ideowe; twórczość J. Kochanowskiego na tle polskim i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europejskim;  Barok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– epoka kontrastów i przeciwieństw; Literatura baroku – periodyzacja, główne wątki, tematy i idee. </w:t>
            </w:r>
          </w:p>
        </w:tc>
      </w:tr>
      <w:tr w:rsidR="00514356" w:rsidRPr="00CD15D1" w:rsidTr="00CF167F">
        <w:tc>
          <w:tcPr>
            <w:tcW w:w="2830" w:type="dxa"/>
          </w:tcPr>
          <w:p w:rsidR="00514356" w:rsidRPr="00CD15D1" w:rsidRDefault="00514356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Literatura oświecenia</w:t>
            </w:r>
          </w:p>
        </w:tc>
        <w:tc>
          <w:tcPr>
            <w:tcW w:w="5529" w:type="dxa"/>
          </w:tcPr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6SUO</w:t>
            </w:r>
          </w:p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</w:tc>
        <w:tc>
          <w:tcPr>
            <w:tcW w:w="5528" w:type="dxa"/>
            <w:shd w:val="clear" w:color="auto" w:fill="auto"/>
          </w:tcPr>
          <w:p w:rsidR="00514356" w:rsidRPr="00CD15D1" w:rsidRDefault="00514356" w:rsidP="00CD15D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Wprowadzenie do literatury i kultury oświecenia; Periodyzacja literatury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oświecenia;  Dziedzictwo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barokowe w literaturze oświeceniowej; Klasycyzm – jako prąd literacki; Sentymentalizm w literaturze oświecenia; Problemy rokoka. </w:t>
            </w:r>
          </w:p>
        </w:tc>
      </w:tr>
      <w:tr w:rsidR="00EE2C0A" w:rsidRPr="00CD15D1" w:rsidTr="005865DB">
        <w:trPr>
          <w:trHeight w:val="2455"/>
        </w:trPr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Literatura romantyzmu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K_K08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CD15D1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Wykład: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Romantyzm polski: nazwa, granice czasowe, periodyzacja okresu, dynamika prądu romantycznego, prądy towarzyszące (klasycyzm i sentymentalizm). </w:t>
            </w:r>
            <w:r w:rsidRPr="00CD15D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Spory przełomu romantycznego jako rywalizacja programów literatury narodowej – w łączności z ćwiczeniami 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D15D1">
              <w:rPr>
                <w:rFonts w:ascii="Times New Roman" w:hAnsi="Times New Roman" w:cs="Times New Roman"/>
                <w:bCs/>
                <w:sz w:val="20"/>
                <w:szCs w:val="20"/>
              </w:rPr>
              <w:t>XIX-wieczna filozofia natury jako radykalny przełom w pojmowaniu natury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Romantyczne koncepcje światopoglądowe. Filozofia i estetyka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Indywidualizm i kolektywizm w literaturze XIX stulecia. O antynomii dziewiętnastowiecznej formacji kulturowej Romantyzm przedlistopadowy. Inicjatywy twórcze Mickiewicza. Romantyzm Malczewskiego. Wystąpienie Mochnackiego. Dominujące gatunki (ballada, powieść poetycka i mickiewiczowskie udramatyzowane „poema”)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Odmiany prądowe romantyzmu przedlistopadowego: A. ludowość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Odmiany prądowe romantyzmu przedlistopadowego: B. poezja transcendentalna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Odmiany prądowe romantyzmu przedlistopadowego: C. bajronizm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Odmiany prądowe romantyzmu przedlistopadowego: D. mediewizm 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Rozwój myśli ezoterycznej – od magnetyzmu - mesmeryzmu do mistycyzmu.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Romantyzm międzypowstaniowy – mesjanizm, towianizm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Motyw dziecka i dzieciństwa w twórczości wielkich romantyków polskich – seria osobnych wykładów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Gawęda i literatura gawędowa okresu romantyzmu 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Ranga i semantyka wąsów w obrazie dawności szlacheckiej –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Pan Tadeusz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Mickiewicza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Romantyzm wobec fantastyki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Wykłady dodatkowe do wyboru: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Fascynacja światłem i blaskiem w twórczości Mickiewicza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Semantyka motywów akwatycznych w poezji polskiej na początku XIX wieku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Ruina jako obraz i temat romantyczny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Konwersatorium:</w:t>
            </w:r>
          </w:p>
          <w:p w:rsidR="00EE2C0A" w:rsidRPr="00CD15D1" w:rsidRDefault="00EE2C0A" w:rsidP="00CD15D1">
            <w:pPr>
              <w:pStyle w:val="Tekstpodstawowy2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.Spory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przełomu romantycznego jako rywalizacja programów literatury narodowej. Różne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koncepcje  poezji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w okresie sporów przełomu romantycznego w Polsce (1818-1830): koncepcja „poezji ludu” i poezji transcendentalnej oraz poezji narodowej.</w:t>
            </w:r>
          </w:p>
          <w:p w:rsidR="00EE2C0A" w:rsidRPr="00CD15D1" w:rsidRDefault="00EE2C0A" w:rsidP="00CD15D1">
            <w:pPr>
              <w:pStyle w:val="Tekstpodstawowy2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Ranga i problematyka wystąpień:</w:t>
            </w:r>
          </w:p>
          <w:p w:rsidR="00EE2C0A" w:rsidRPr="00CD15D1" w:rsidRDefault="00EE2C0A" w:rsidP="00CD15D1">
            <w:pPr>
              <w:pStyle w:val="Tekstpodstawowy2"/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*Adama Mickiewicza w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Przemowie 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O poezji romantycznej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);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EE2C0A" w:rsidRPr="00CD15D1" w:rsidRDefault="00EE2C0A" w:rsidP="00CD15D1">
            <w:pPr>
              <w:pStyle w:val="Tekstpodstawowy2"/>
              <w:spacing w:after="0"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*Kazimierza Brodzińskiego w </w:t>
            </w:r>
            <w:r w:rsidRPr="00CD15D1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 klasyczności i romantyczności tudzież o duchu poezji polskiej</w:t>
            </w:r>
            <w:r w:rsidRPr="00CD15D1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;</w:t>
            </w:r>
          </w:p>
          <w:p w:rsidR="00EE2C0A" w:rsidRPr="00CD15D1" w:rsidRDefault="00EE2C0A" w:rsidP="00CD15D1">
            <w:pPr>
              <w:pStyle w:val="Tekstpodstawowy2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                *koncepcja Maurycego Mochnackiego: w manifeście krytycznym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 duchu i źródłach poezji w Polszcze</w:t>
            </w:r>
          </w:p>
          <w:p w:rsidR="00EE2C0A" w:rsidRPr="00CD15D1" w:rsidRDefault="00EE2C0A" w:rsidP="00CD15D1">
            <w:pPr>
              <w:pStyle w:val="Tekstpodstawowy3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Ballada romantyczna. </w:t>
            </w:r>
          </w:p>
          <w:p w:rsidR="00EE2C0A" w:rsidRPr="00CD15D1" w:rsidRDefault="00EE2C0A" w:rsidP="00CD15D1">
            <w:pPr>
              <w:pStyle w:val="Tekstpodstawowy3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        *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Romantyczność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>jako wykład romantycznej epistemologii.</w:t>
            </w:r>
          </w:p>
          <w:p w:rsidR="00EE2C0A" w:rsidRPr="00CD15D1" w:rsidRDefault="00EE2C0A" w:rsidP="00CD15D1">
            <w:pPr>
              <w:pStyle w:val="Tekstpodstawowy3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         *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Świtezianka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jako wykład romantycznej ontologii</w:t>
            </w:r>
          </w:p>
          <w:p w:rsidR="00EE2C0A" w:rsidRPr="00CD15D1" w:rsidRDefault="00EE2C0A" w:rsidP="00CD15D1">
            <w:pPr>
              <w:pStyle w:val="Tekstpodstawowy3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D15D1">
              <w:rPr>
                <w:rFonts w:ascii="Times New Roman" w:hAnsi="Times New Roman"/>
                <w:bCs/>
                <w:sz w:val="20"/>
                <w:szCs w:val="20"/>
              </w:rPr>
              <w:t xml:space="preserve"> Dramat romantyczny</w:t>
            </w:r>
          </w:p>
          <w:p w:rsidR="00EE2C0A" w:rsidRPr="00CD15D1" w:rsidRDefault="00EE2C0A" w:rsidP="00CD15D1">
            <w:pPr>
              <w:pStyle w:val="Tekstpodstawowy3"/>
              <w:spacing w:after="0"/>
              <w:rPr>
                <w:rFonts w:ascii="Times New Roman" w:hAnsi="Times New Roman"/>
                <w:iCs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         *</w:t>
            </w:r>
            <w:r w:rsidRPr="00CD15D1">
              <w:rPr>
                <w:rFonts w:ascii="Times New Roman" w:hAnsi="Times New Roman"/>
                <w:i/>
                <w:iCs/>
                <w:sz w:val="20"/>
                <w:szCs w:val="20"/>
              </w:rPr>
              <w:t>Dziady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wileńsko-kowieńskie – poszukiwania własnej formy dramatycznej. Ludowość II cz. </w:t>
            </w:r>
            <w:r w:rsidRPr="00CD15D1">
              <w:rPr>
                <w:rFonts w:ascii="Times New Roman" w:hAnsi="Times New Roman"/>
                <w:i/>
                <w:iCs/>
                <w:sz w:val="20"/>
                <w:szCs w:val="20"/>
              </w:rPr>
              <w:t>Dziadów</w:t>
            </w:r>
            <w:r w:rsidRPr="00CD15D1">
              <w:rPr>
                <w:rFonts w:ascii="Times New Roman" w:hAnsi="Times New Roman"/>
                <w:iCs/>
                <w:sz w:val="20"/>
                <w:szCs w:val="20"/>
              </w:rPr>
              <w:t xml:space="preserve">. IV część </w:t>
            </w:r>
            <w:r w:rsidRPr="00CD15D1">
              <w:rPr>
                <w:rFonts w:ascii="Times New Roman" w:hAnsi="Times New Roman"/>
                <w:i/>
                <w:iCs/>
                <w:sz w:val="20"/>
                <w:szCs w:val="20"/>
              </w:rPr>
              <w:t>Dziadów</w:t>
            </w:r>
            <w:r w:rsidRPr="00CD15D1">
              <w:rPr>
                <w:rFonts w:ascii="Times New Roman" w:hAnsi="Times New Roman"/>
                <w:iCs/>
                <w:sz w:val="20"/>
                <w:szCs w:val="20"/>
              </w:rPr>
              <w:t xml:space="preserve"> – indywidualizm i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>egzemplifikacja</w:t>
            </w:r>
            <w:r w:rsidRPr="00CD15D1">
              <w:rPr>
                <w:rFonts w:ascii="Times New Roman" w:hAnsi="Times New Roman"/>
                <w:iCs/>
                <w:sz w:val="20"/>
                <w:szCs w:val="20"/>
              </w:rPr>
              <w:t xml:space="preserve"> r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>omantycznej filozofii miłości</w:t>
            </w:r>
          </w:p>
          <w:p w:rsidR="00EE2C0A" w:rsidRPr="00CD15D1" w:rsidRDefault="00EE2C0A" w:rsidP="00CD15D1">
            <w:pPr>
              <w:pStyle w:val="Tekstpodstawowy3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iCs/>
                <w:sz w:val="20"/>
                <w:szCs w:val="20"/>
              </w:rPr>
              <w:t xml:space="preserve">          *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Okoliczności powstania, budowa, główne motywy i problematyka </w:t>
            </w:r>
            <w:r w:rsidRPr="00CD15D1">
              <w:rPr>
                <w:rFonts w:ascii="Times New Roman" w:hAnsi="Times New Roman"/>
                <w:i/>
                <w:iCs/>
                <w:sz w:val="20"/>
                <w:szCs w:val="20"/>
              </w:rPr>
              <w:t>Dziadów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drezdeńskich</w:t>
            </w:r>
          </w:p>
          <w:p w:rsidR="00EE2C0A" w:rsidRPr="00CD15D1" w:rsidRDefault="00EE2C0A" w:rsidP="00CD15D1">
            <w:pPr>
              <w:pStyle w:val="Tekstpodstawowy3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          *</w:t>
            </w:r>
            <w:r w:rsidRPr="00CD15D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Dziadów część III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>– poemat profetyczny</w:t>
            </w:r>
          </w:p>
          <w:p w:rsidR="00EE2C0A" w:rsidRPr="00CD15D1" w:rsidRDefault="00EE2C0A" w:rsidP="00CD15D1">
            <w:pPr>
              <w:pStyle w:val="Tekstpodstawowy3"/>
              <w:spacing w:after="0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Romantyczna powieść poetycka.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Maria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>A. Malczewskiego. Szkoła ukrauńska</w:t>
            </w:r>
          </w:p>
          <w:p w:rsidR="00EE2C0A" w:rsidRPr="00CD15D1" w:rsidRDefault="00EE2C0A" w:rsidP="00CD15D1">
            <w:pPr>
              <w:pStyle w:val="Tekstpodstawowy3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Poemat dygresyjny.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Beniowski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>J. Słowackiego</w:t>
            </w:r>
          </w:p>
          <w:p w:rsidR="00EE2C0A" w:rsidRPr="00CD15D1" w:rsidRDefault="00EE2C0A" w:rsidP="00CD15D1">
            <w:pPr>
              <w:pStyle w:val="Tekstpodstawowy3"/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Powieść psychologiczna.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Poganka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>N. Żmichowskiej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Pan Tadeusz</w:t>
            </w:r>
            <w:r w:rsidRPr="00CD15D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– romantyczny poemat uniwersalny. Rozważania o tekście, akcji, tle historycznoliterackim, bohaterach i ukrytych wymiarach poematu. Kultura szlachecka w utworze.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Proza romantyczna. Gawęda szlachecka. / Kontynuatorzy tradycji gawędowej: Wincenty Pol i Władysław Syrokomla / Poezja krajowa: Kornel Ujejski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-„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najwierniejszy uczeń wieszczów”; Teofil Lenartowicz- „lirnik mazowiecki”</w:t>
            </w:r>
          </w:p>
          <w:p w:rsidR="00EE2C0A" w:rsidRPr="00CD15D1" w:rsidRDefault="00EE2C0A" w:rsidP="00CD15D1">
            <w:pPr>
              <w:pStyle w:val="Tekstpodstawowy2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Powieści ludowe J. I. Kraszewskiego (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Chata za wsią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Miejsce Aleksandra Fredry w literaturze okresu romantyzmu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Literatura pozytywizmu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</w:tc>
        <w:tc>
          <w:tcPr>
            <w:tcW w:w="5528" w:type="dxa"/>
            <w:shd w:val="clear" w:color="auto" w:fill="auto"/>
          </w:tcPr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Dyskusja o najważniejszych wyznacznikach przełomu pozytywistycznego w Polsce.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Hasła programowe pozytywistów w wybranych wypowiedziach publicystycznych.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„Humoreski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z  teki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Worszyłły”  H. Sienkiewicza jako przykład utworu tendencyjnego  i początek pozytywistycznych antynomii artystycznych i światopoglądowych.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Geneza i ideologia młodokonserwatyzmu warszawskiego.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„Marta” E. Orzeszkowej jako przykład powieści tendencyjnej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Od tendencji do realizmu. „Anielka” B. Prusa.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„Placówka” B. Prusa a kształtowanie się poglądów estetyczno-literackich pisarza.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Naturalizm w „Placówce” B. Prusa wobec teorii Emila Zoli.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Naturalizm w „Na skałach w Calvados” A. Sygietyńskiego.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Spór krytycznoliteracki o powieść historyczną w dobie pozytywizmu.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Nowelistyka Henryka Sienkiewicza. Ewolucja i poetyka.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Kompozycja i tradycje literackie „Lalki” B. Prusa.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Problematyka światopoglądowa w „Lalce” B. Prusa.</w:t>
            </w:r>
          </w:p>
          <w:p w:rsidR="000918A2" w:rsidRPr="00CD15D1" w:rsidRDefault="000918A2" w:rsidP="00CD15D1">
            <w:pPr>
              <w:pStyle w:val="Akapitzlist"/>
              <w:numPr>
                <w:ilvl w:val="0"/>
                <w:numId w:val="22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„Pójdźmy za Nim” – apokryf H. Sienkiewicza jako wyraz ewolucji poglądów religijnych polskich pozytywistów.</w:t>
            </w:r>
          </w:p>
          <w:p w:rsidR="000918A2" w:rsidRPr="00CD15D1" w:rsidRDefault="000918A2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Literatura Młodej Polski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</w:tc>
        <w:tc>
          <w:tcPr>
            <w:tcW w:w="5528" w:type="dxa"/>
            <w:shd w:val="clear" w:color="auto" w:fill="auto"/>
          </w:tcPr>
          <w:p w:rsidR="00B265B2" w:rsidRPr="00CD15D1" w:rsidRDefault="00B265B2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Programy i manifesty literackie Młodej Polski.</w:t>
            </w: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Nurt dekadencki i nurt odrodzeńczy. Nastroje i światopoglądy przełomu wieków.</w:t>
            </w: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Koncepcje estetyczne polskiego modernizmu. </w:t>
            </w: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Młodopolski symbolizm.</w:t>
            </w: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Literatura młodopolskiego impresjonizmu.</w:t>
            </w: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Młodopolski preekspresjonizm.</w:t>
            </w: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Młodopolski parnasizm i neoklasycyzm.</w:t>
            </w: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Nurt franciszkański w liryce Młodej Polski</w:t>
            </w: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Tendencje naturalistyczne w literaturze Młodej Polski.</w:t>
            </w: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Młodopolska liryka rewolucyjna.</w:t>
            </w:r>
          </w:p>
          <w:p w:rsidR="00B265B2" w:rsidRPr="00CD15D1" w:rsidRDefault="00B265B2" w:rsidP="00CD15D1">
            <w:pPr>
              <w:pStyle w:val="Akapitzlist"/>
              <w:numPr>
                <w:ilvl w:val="0"/>
                <w:numId w:val="17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Młodopolska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krytyka  literacka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i artystyczna.</w:t>
            </w:r>
          </w:p>
          <w:p w:rsidR="00B265B2" w:rsidRPr="00CD15D1" w:rsidRDefault="00B265B2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Literatura II Rzeczypospolitej oraz wojny i okupacji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Tło społeczno-polityczne i kulturalne II RP; wpływy filozoficzne; literatura światowa okresu; czasopiśmiennictwo (realia, periodyki); krytyka literacka; programy i manifesty epoki; polemiki literackie; poezja (grupy literackie i twórcy); proza (główne nurty, pisarze); dramat; literatura okresu II wojny światowej (sytuacja polityczna i kulturalna, czasopiśmiennictwo, twórcy i ich dzieła).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Literatura po 1945 roku do 1989 roku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Wykład: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Zagadnienia terminologiczno-periodyzacyjne.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Lata 1944-1948: dyskusje i spory literackie, kształt życia literackiego, nowe zjawiska.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 podstaw pisarstwa T. Różewicza: podwójny debiut i dalsza twórczość tego autora.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„Ocalenie” i dalszy dorobek artystyczny Cz. Miłosza.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Narodziny i rozwój literatury emigracyjnej.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Socrealizm i okolice. Pokolenie „pryszczatych”.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Literatura odwilży.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„Literatura przeklęta” po 1956 roku.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Pokolenie „Współczesności”, spóźnione i powtórne debiuty.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Lingwizm i poezja lingwistyczna.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Nurt żydowski oraz literatura polskojęzyczna w Izraelu.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Neoklasycyzm.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Formulizm i formacja „wnucząt”.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Pisarstwo E. Stachury oraz jego ewolucja.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Kresy we współczesnej literaturze polskiej w kraju i na emigracji.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Pokolenie Nowej Fali: poezja i proza.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Literatura nurtu chłopskiego.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 tzw. „rewolucji artystycznej” w prozie.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Nowa Prywatność i jej środowiska, typ wiersza.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Literatura stanu wojennego.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2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Wokół cezury 1989 roku.</w:t>
            </w:r>
          </w:p>
          <w:p w:rsidR="00EE2C0A" w:rsidRPr="00CD15D1" w:rsidRDefault="00EE2C0A" w:rsidP="00CD15D1">
            <w:p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Ćwiczenia: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Proza obozowo-łagrowa i dipisowska.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Nurt prozy „rozrachunków inteligenckich”.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Tematyka wojenna i jej ewolucja w literaturze po 1945 r.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Piśmiennictwo polskojęzyczne w Izraelu: wybrani autorzy.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Temat wygnania w eseju i w prozie narracyjnej.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Dyskusje i spory o nową literaturę w latach 40. (świadectwa prozatorskie i krytycznoliterackie).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Twórczość autorów pokoleń międzywojennych na emigracji.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Powojenna powieść inicjacyjna.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Liryka Cz. Miłosza i jej fazy rozwojowe.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Tzw. motywy „kulturowe” w prozie i poezji współczesnej.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Powtórne i spóźnione debiuty (oraz dalsza droga pisarzy tego kręgu).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Proza nurtu chłopskiego: wybrany przykład.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Aspekty epistemologiczne fantastyki literackiej: S. Lem.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Postawa twórcza M. Białoszewskiego wobec powstania warszawskiego i współczesności.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Twórczość „przeklęta”: wybrane przykłady.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Liryka Nowej Fali.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Motyw dekadenta w literaturze powojennej.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Postać Witkacego w poezji i prozie po 1945 r.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Przeobrażenia dramaturgii współczesnej, główne kierunki (przykłady).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Proza polska lat 80.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Dzienniki W. Gombrowicza wobec tradycji gatunku.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Eseistyka Cz. Miłosza.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Literatura faktu.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Literatura najnowsza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Ćwiczenia: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Debiut i dalsza twórczość M. Świetlickiego.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Pokolenie bruLinu c.d.: J. Podsiadło.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Tematyka emigracyjna i polska w prozie A. Leczyckiego.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Tendencje inicjacyjne w prozie lat 90. (T. Tryzna, O. Tokarczuk).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Neobarok w liryce po 1989 roku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Dekonstruktywistyczne konteksty i uwarunkowania lektury liryki A. Sosnowskiego.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Późna twórczość Cz. Miłosza i T. Różewicza.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Proza postmodernistyczna? M. Bieńczyk.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Dramaturgia P. Wojcieszka.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K. Siwczyk a manifestacje literackie roczników 70.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P. Huelle pośród przemian prozy po 1989 roku.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4"/>
              </w:numPr>
              <w:ind w:left="317" w:hanging="317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Proza debiutantów lat 2000.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Wybrane zagadnienia z literatury powszechnej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K_K08 P6S_KR</w:t>
            </w: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ind w:left="173" w:hanging="173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Konwersatorium</w:t>
            </w:r>
          </w:p>
          <w:p w:rsidR="00EE2C0A" w:rsidRPr="00CD15D1" w:rsidRDefault="00EE2C0A" w:rsidP="00CD15D1">
            <w:pPr>
              <w:numPr>
                <w:ilvl w:val="0"/>
                <w:numId w:val="2"/>
              </w:numPr>
              <w:ind w:left="317" w:hanging="317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Średniowiecze: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Brewiarz miłości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ze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Wstępem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Z. Romanowiczowej;</w:t>
            </w:r>
          </w:p>
          <w:p w:rsidR="00EE2C0A" w:rsidRPr="00CD15D1" w:rsidRDefault="00EE2C0A" w:rsidP="00CD15D1">
            <w:pPr>
              <w:numPr>
                <w:ilvl w:val="0"/>
                <w:numId w:val="2"/>
              </w:numPr>
              <w:ind w:left="317" w:hanging="317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Między średniowieczem a renesansem: Dante,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Boska komedia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, Boccaccio,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Dekameron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EE2C0A" w:rsidRPr="00CD15D1" w:rsidRDefault="00EE2C0A" w:rsidP="00CD15D1">
            <w:pPr>
              <w:numPr>
                <w:ilvl w:val="0"/>
                <w:numId w:val="2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Odrodzenie i jego idee: Erazm z Rotterdamu,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Pochwała głupoty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. W tegoż: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Wybór pism.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Wyb., wstęp i komentarze M. Cystowska (BN II, nr 231)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N. Machiavelli, </w:t>
            </w:r>
            <w:proofErr w:type="gramStart"/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Książę,  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M.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Montaigne,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Próby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(wybór)</w:t>
            </w:r>
          </w:p>
          <w:p w:rsidR="00EE2C0A" w:rsidRPr="00CD15D1" w:rsidRDefault="00EE2C0A" w:rsidP="00CD15D1">
            <w:pPr>
              <w:numPr>
                <w:ilvl w:val="0"/>
                <w:numId w:val="2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Wiek XVII w Anglii (pogranicza epok): Szekspir: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Hamlet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i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Burza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(tu także: specyfika teatru elżbietańskiego); Milton: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Raj utracony</w:t>
            </w:r>
          </w:p>
          <w:p w:rsidR="00EE2C0A" w:rsidRPr="00CD15D1" w:rsidRDefault="00EE2C0A" w:rsidP="00CD15D1">
            <w:pPr>
              <w:numPr>
                <w:ilvl w:val="0"/>
                <w:numId w:val="2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Wiek XVII w Anglii: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Antologia angielskiej poezji metafizycznej XVII stulecia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. Wyb., przekład, wstęp Stanisław Barańczak (tutaj: John Donne, Georg Herbert, Andrew Marwell) – kwestia zróżnicowania poezji metafizycznej</w:t>
            </w:r>
          </w:p>
          <w:p w:rsidR="00EE2C0A" w:rsidRPr="00CD15D1" w:rsidRDefault="00EE2C0A" w:rsidP="00CD15D1">
            <w:pPr>
              <w:numPr>
                <w:ilvl w:val="0"/>
                <w:numId w:val="2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Wiek XVII i XVIII we Francji: Maria de La Fayette</w:t>
            </w:r>
            <w:r w:rsidRPr="00CD15D1">
              <w:rPr>
                <w:rFonts w:ascii="Times New Roman" w:hAnsi="Times New Roman" w:cs="Times New Roman"/>
                <w:iCs/>
                <w:sz w:val="20"/>
                <w:szCs w:val="20"/>
              </w:rPr>
              <w:t>: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Księżna de Cl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sym w:font="Times New Roman" w:char="F0E9"/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ves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, Racine: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Fedra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, Molier: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Don Juan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lub Choderlos de Laclos: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Niebezpieczne związki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E2C0A" w:rsidRPr="00CD15D1" w:rsidRDefault="00EE2C0A" w:rsidP="00CD15D1">
            <w:pPr>
              <w:numPr>
                <w:ilvl w:val="0"/>
                <w:numId w:val="2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Wiek XVIII w Anglii (wielość nurtów): Daniel Defoe,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Robinson Crusoe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, Swift,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Podróże do wielu odległych narodów świata przez Lemuela Gullivera...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EE2C0A" w:rsidRPr="00CD15D1" w:rsidRDefault="00EE2C0A" w:rsidP="00CD15D1">
            <w:pPr>
              <w:numPr>
                <w:ilvl w:val="0"/>
                <w:numId w:val="2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Ku romantyzmowi: Rousseau,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Nowa Heloiza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i L. Sterne,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Podróż sentymentalna</w:t>
            </w:r>
          </w:p>
          <w:p w:rsidR="00EE2C0A" w:rsidRPr="00CD15D1" w:rsidRDefault="00EE2C0A" w:rsidP="00CD15D1">
            <w:pPr>
              <w:numPr>
                <w:ilvl w:val="0"/>
                <w:numId w:val="3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Romantyzm: E. T. A. Hoffman,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Diable eliksiry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, A. de Musset,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Spowiedź dziecięcia wieku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; Byron,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Korsarz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Prometeusz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(wiersze w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Dziełach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); E. A. Poe,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Opowiadania</w:t>
            </w:r>
          </w:p>
          <w:p w:rsidR="00EE2C0A" w:rsidRPr="00CD15D1" w:rsidRDefault="00EE2C0A" w:rsidP="00CD15D1">
            <w:pPr>
              <w:numPr>
                <w:ilvl w:val="0"/>
                <w:numId w:val="3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Ku realizmowi: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Stendhal,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Czerwone</w:t>
            </w:r>
            <w:proofErr w:type="gramEnd"/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i czarne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; Flaubert,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Pani Bovary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E2C0A" w:rsidRPr="00CD15D1" w:rsidRDefault="00EE2C0A" w:rsidP="00CD15D1">
            <w:pPr>
              <w:numPr>
                <w:ilvl w:val="0"/>
                <w:numId w:val="3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Naturalizm i jego odmiany: Zola: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Nana</w:t>
            </w:r>
            <w:r w:rsidRPr="00CD15D1">
              <w:rPr>
                <w:rFonts w:ascii="Times New Roman" w:hAnsi="Times New Roman" w:cs="Times New Roman"/>
                <w:iCs/>
                <w:sz w:val="20"/>
                <w:szCs w:val="20"/>
              </w:rPr>
              <w:t>,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Strindberg: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Panna Julia 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Ojciec </w:t>
            </w:r>
          </w:p>
          <w:p w:rsidR="00EE2C0A" w:rsidRPr="00CD15D1" w:rsidRDefault="00EE2C0A" w:rsidP="00CD15D1">
            <w:pPr>
              <w:numPr>
                <w:ilvl w:val="0"/>
                <w:numId w:val="3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Rosyjska literatura XIX w.: F. Dostojewski,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Idiota;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Czechow,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Trzy siostry</w:t>
            </w:r>
          </w:p>
          <w:p w:rsidR="00EE2C0A" w:rsidRPr="00CD15D1" w:rsidRDefault="00EE2C0A" w:rsidP="00CD15D1">
            <w:pPr>
              <w:numPr>
                <w:ilvl w:val="0"/>
                <w:numId w:val="3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Baudelaire,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Kwiaty zła</w:t>
            </w:r>
            <w:r w:rsidRPr="00CD15D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, Maeterlinck,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Ślepcy</w:t>
            </w:r>
            <w:r w:rsidRPr="00CD15D1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lub tegoż wiersze [w:]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Symboliści francuscy</w:t>
            </w:r>
          </w:p>
          <w:p w:rsidR="00EE2C0A" w:rsidRPr="00CD15D1" w:rsidRDefault="00EE2C0A" w:rsidP="00CD15D1">
            <w:pPr>
              <w:numPr>
                <w:ilvl w:val="0"/>
                <w:numId w:val="3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XX wiek cz. I: T. S. Eliot,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Ziemia jałowa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i modernizm; </w:t>
            </w:r>
          </w:p>
          <w:p w:rsidR="00EE2C0A" w:rsidRPr="00CD15D1" w:rsidRDefault="00EE2C0A" w:rsidP="00CD15D1">
            <w:pPr>
              <w:numPr>
                <w:ilvl w:val="0"/>
                <w:numId w:val="3"/>
              </w:numPr>
              <w:ind w:left="317" w:hanging="3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W stronę postmodernizmu: Ionesco,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Łysa śpiewaczka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, Genet, </w:t>
            </w:r>
            <w:r w:rsidRPr="00CD15D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Balkon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– teatr absurdu;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Gabinet luster. Krótka proza amerykańska 1961-1977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E2C0A" w:rsidRPr="00CD15D1" w:rsidRDefault="00EE2C0A" w:rsidP="00CD15D1">
            <w:pPr>
              <w:ind w:left="317" w:hanging="317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Wykład</w:t>
            </w:r>
          </w:p>
          <w:p w:rsidR="00EE2C0A" w:rsidRPr="00CD15D1" w:rsidRDefault="00EE2C0A" w:rsidP="00CD15D1">
            <w:pPr>
              <w:pStyle w:val="Tekstpodstawowy"/>
              <w:spacing w:after="0" w:line="240" w:lineRule="auto"/>
              <w:ind w:left="317" w:hanging="317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>Stary i Nowy Testament: historia i teksty; gatunki literackie</w:t>
            </w:r>
          </w:p>
          <w:p w:rsidR="00EE2C0A" w:rsidRPr="00CD15D1" w:rsidRDefault="00EE2C0A" w:rsidP="00CD15D1">
            <w:pPr>
              <w:pStyle w:val="Tekstpodstawowy"/>
              <w:spacing w:after="0" w:line="240" w:lineRule="auto"/>
              <w:ind w:left="317" w:hanging="317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Epika, liryka, dramat i proza w Grecji i Rzymie: historia i teksty </w:t>
            </w:r>
          </w:p>
          <w:p w:rsidR="00EE2C0A" w:rsidRPr="00CD15D1" w:rsidRDefault="00EE2C0A" w:rsidP="00CD15D1">
            <w:pPr>
              <w:pStyle w:val="Tekstpodstawowy"/>
              <w:spacing w:after="0" w:line="240" w:lineRule="auto"/>
              <w:ind w:left="317" w:hanging="317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Opowieści Okrągłego Stołu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– trzy tradycje kulturowe i trzy drogi człowieka w romansie rycerskim</w:t>
            </w:r>
          </w:p>
          <w:p w:rsidR="00EE2C0A" w:rsidRPr="00CD15D1" w:rsidRDefault="00EE2C0A" w:rsidP="00CD15D1">
            <w:pPr>
              <w:pStyle w:val="Tekstpodstawowy"/>
              <w:spacing w:after="0" w:line="240" w:lineRule="auto"/>
              <w:ind w:left="317" w:hanging="317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Ariosta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Orland szalony,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czyli odrodzeniowa realizacja romansu rycerskiego; Camõensa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Luzytanie,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czyli nowa wizja ludzkiej drogi </w:t>
            </w:r>
          </w:p>
          <w:p w:rsidR="00EE2C0A" w:rsidRPr="00CD15D1" w:rsidRDefault="00EE2C0A" w:rsidP="00CD15D1">
            <w:pPr>
              <w:pStyle w:val="Tekstpodstawowy"/>
              <w:spacing w:after="0" w:line="240" w:lineRule="auto"/>
              <w:ind w:left="317" w:hanging="317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Tassa </w:t>
            </w:r>
            <w:proofErr w:type="gramStart"/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Gofred,</w:t>
            </w:r>
            <w:proofErr w:type="gramEnd"/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 albo Jerozolima wyzwolona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jako zwrot romansu rycerskiego w stronę baroku; Calderona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Życie snem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oraz dydaktyczny gatunek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auto sacramental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Magia grzechu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i in.) jako wyraz barokowej diagnozy poznawczej </w:t>
            </w:r>
          </w:p>
          <w:p w:rsidR="00EE2C0A" w:rsidRPr="00CD15D1" w:rsidRDefault="00EE2C0A" w:rsidP="00CD15D1">
            <w:pPr>
              <w:pStyle w:val="Tekstpodstawowy"/>
              <w:spacing w:after="0" w:line="240" w:lineRule="auto"/>
              <w:ind w:left="317" w:hanging="317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Voltaire i przesłanie powiastki filozoficznej jako dydaktycznego gatunku oświecenia </w:t>
            </w:r>
          </w:p>
          <w:p w:rsidR="00EE2C0A" w:rsidRPr="00CD15D1" w:rsidRDefault="00EE2C0A" w:rsidP="00CD15D1">
            <w:pPr>
              <w:pStyle w:val="Tekstpodstawowy"/>
              <w:spacing w:after="0" w:line="240" w:lineRule="auto"/>
              <w:ind w:left="317" w:hanging="317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Cierpienia młodego Wertera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Goethego, czyli przesłanki samobójstwa idealisty a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Faust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jako wizja konstruktywna</w:t>
            </w:r>
          </w:p>
          <w:p w:rsidR="00EE2C0A" w:rsidRPr="00CD15D1" w:rsidRDefault="00EE2C0A" w:rsidP="00CD15D1">
            <w:pPr>
              <w:pStyle w:val="Tekstpodstawowy"/>
              <w:spacing w:after="0" w:line="240" w:lineRule="auto"/>
              <w:ind w:left="317" w:hanging="317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Dwa rozumienia prawdy: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Jaszczur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i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Eugenia Grandet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Balzaka, czyli realizm jako zapis historii i przemian </w:t>
            </w:r>
            <w:proofErr w:type="gramStart"/>
            <w:r w:rsidRPr="00CD15D1">
              <w:rPr>
                <w:rFonts w:ascii="Times New Roman" w:hAnsi="Times New Roman"/>
                <w:sz w:val="20"/>
                <w:szCs w:val="20"/>
              </w:rPr>
              <w:t>społeczeństwa  oraz</w:t>
            </w:r>
            <w:proofErr w:type="gramEnd"/>
            <w:r w:rsidRPr="00CD15D1">
              <w:rPr>
                <w:rFonts w:ascii="Times New Roman" w:hAnsi="Times New Roman"/>
                <w:sz w:val="20"/>
                <w:szCs w:val="20"/>
              </w:rPr>
              <w:t xml:space="preserve"> naturalizm jako zapis prawdy natury (Zoli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Germinal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>i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 Nana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– korzenie naukowe, filozoficzne i literackie a projekt etyczny; Ibsen, czyli apoteoza prawdy w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Upiorach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>) .</w:t>
            </w:r>
          </w:p>
          <w:p w:rsidR="00EE2C0A" w:rsidRPr="00CD15D1" w:rsidRDefault="00EE2C0A" w:rsidP="00CD15D1">
            <w:pPr>
              <w:pStyle w:val="Tekstpodstawowy"/>
              <w:spacing w:after="0" w:line="240" w:lineRule="auto"/>
              <w:ind w:left="317" w:hanging="317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>Estetyka (twórczość, piękno) kontra etyka (dobro). Nietzsche i antynomia wzorców indywidualnych oraz kulturowych (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Narodziny tragedii z ducha muzyki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oraz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Tako rzecze Zaratustra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); wartość piękna przeciwko wartości dobra (Wilde’a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Portret Doriana Graya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 a dandyzm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>oraz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dekadencki bunt przeciw naturze i społeczeństwu w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Na wspak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Huysmansa). </w:t>
            </w:r>
          </w:p>
          <w:p w:rsidR="00EE2C0A" w:rsidRPr="00CD15D1" w:rsidRDefault="00EE2C0A" w:rsidP="00CD15D1">
            <w:pPr>
              <w:pStyle w:val="Tekstpodstawowy"/>
              <w:spacing w:line="240" w:lineRule="auto"/>
              <w:ind w:left="317" w:hanging="317"/>
              <w:rPr>
                <w:rFonts w:ascii="Times New Roman" w:hAnsi="Times New Roman"/>
                <w:sz w:val="20"/>
                <w:szCs w:val="20"/>
              </w:rPr>
            </w:pPr>
            <w:r w:rsidRPr="00CD15D1">
              <w:rPr>
                <w:rFonts w:ascii="Times New Roman" w:hAnsi="Times New Roman"/>
                <w:sz w:val="20"/>
                <w:szCs w:val="20"/>
              </w:rPr>
              <w:t xml:space="preserve">Powrót do mitów: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Ulisses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Joyce’a a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>Odyseja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, mit Żyda Wiecznego Tułacza, odwołania do Shakespeare’a. Człowiek między biegunami mitów i paradygmatów w </w:t>
            </w:r>
            <w:r w:rsidRPr="00CD15D1">
              <w:rPr>
                <w:rFonts w:ascii="Times New Roman" w:hAnsi="Times New Roman"/>
                <w:i/>
                <w:sz w:val="20"/>
                <w:szCs w:val="20"/>
              </w:rPr>
              <w:t xml:space="preserve">Czekając na Godota </w:t>
            </w:r>
            <w:r w:rsidRPr="00CD15D1">
              <w:rPr>
                <w:rFonts w:ascii="Times New Roman" w:hAnsi="Times New Roman"/>
                <w:sz w:val="20"/>
                <w:szCs w:val="20"/>
              </w:rPr>
              <w:t xml:space="preserve">Becketta. </w:t>
            </w:r>
          </w:p>
          <w:p w:rsidR="00EE2C0A" w:rsidRPr="00CD15D1" w:rsidRDefault="00EE2C0A" w:rsidP="00CD15D1">
            <w:pPr>
              <w:ind w:left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Literatura dla dzieci i młodzieży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</w:tc>
        <w:tc>
          <w:tcPr>
            <w:tcW w:w="5528" w:type="dxa"/>
            <w:shd w:val="clear" w:color="auto" w:fill="auto"/>
            <w:vAlign w:val="center"/>
          </w:tcPr>
          <w:p w:rsidR="00EE2C0A" w:rsidRPr="00CD15D1" w:rsidRDefault="00EE2C0A" w:rsidP="00CD15D1">
            <w:pPr>
              <w:numPr>
                <w:ilvl w:val="0"/>
                <w:numId w:val="5"/>
              </w:numPr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Literatura dla dzieci i młodzieży: „czwarta” czy „osobna”? – rys historyczny.</w:t>
            </w:r>
          </w:p>
          <w:p w:rsidR="00EE2C0A" w:rsidRPr="00CD15D1" w:rsidRDefault="00EE2C0A" w:rsidP="00CD15D1">
            <w:pPr>
              <w:numPr>
                <w:ilvl w:val="0"/>
                <w:numId w:val="5"/>
              </w:numPr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Charakter i miejsce literatury dla dzieci i młodzieży we współczesnym świecie kultury.</w:t>
            </w:r>
          </w:p>
          <w:p w:rsidR="00EE2C0A" w:rsidRPr="00CD15D1" w:rsidRDefault="00EE2C0A" w:rsidP="00CD15D1">
            <w:pPr>
              <w:numPr>
                <w:ilvl w:val="0"/>
                <w:numId w:val="5"/>
              </w:numPr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Uwarunkowania pedagogiczne, psychologiczne i socjologiczne tekstów dla dzieci. Typologia rodzajowa i gatunkowa w zakresie literatury „osobnej” (kryteria tematyczne i gatunkowe). </w:t>
            </w:r>
          </w:p>
          <w:p w:rsidR="00EE2C0A" w:rsidRPr="00CD15D1" w:rsidRDefault="00EE2C0A" w:rsidP="00CD15D1">
            <w:pPr>
              <w:numPr>
                <w:ilvl w:val="0"/>
                <w:numId w:val="5"/>
              </w:numPr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Dziecko i poezja: - najstarsza poezja dla dzieci; - Maria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Konopnicka,-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poeci dwudziestolecia międzywojennego,  - nowa bajka Brzechwy, - miejsce poezji w wychowaniu, - poezja okolicznościowa, - wiersze dziecięce - narratorzy i odbiorcy.</w:t>
            </w:r>
          </w:p>
          <w:p w:rsidR="00EE2C0A" w:rsidRPr="00CD15D1" w:rsidRDefault="00EE2C0A" w:rsidP="00CD15D1">
            <w:pPr>
              <w:numPr>
                <w:ilvl w:val="0"/>
                <w:numId w:val="5"/>
              </w:numPr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Cechy „literatury osobnej” (komizm, gra i zabawa, folklor i śpiewność, muzyka, malarstwo i inne kategorie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obecne  w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 tekstach). </w:t>
            </w:r>
          </w:p>
          <w:p w:rsidR="00EE2C0A" w:rsidRPr="00CD15D1" w:rsidRDefault="00EE2C0A" w:rsidP="00CD15D1">
            <w:pPr>
              <w:numPr>
                <w:ilvl w:val="0"/>
                <w:numId w:val="5"/>
              </w:numPr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Dydaktyczne walory literatury dziecięcej. </w:t>
            </w:r>
          </w:p>
          <w:p w:rsidR="00EE2C0A" w:rsidRPr="00CD15D1" w:rsidRDefault="00EE2C0A" w:rsidP="00CD15D1">
            <w:pPr>
              <w:numPr>
                <w:ilvl w:val="0"/>
                <w:numId w:val="5"/>
              </w:numPr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Baśń jako uniwersalny tekst kultury/ Kołysanka - poetycka lekcja wrażliwości.</w:t>
            </w:r>
          </w:p>
          <w:p w:rsidR="00EE2C0A" w:rsidRPr="00CD15D1" w:rsidRDefault="00EE2C0A" w:rsidP="00CD15D1">
            <w:pPr>
              <w:numPr>
                <w:ilvl w:val="0"/>
                <w:numId w:val="5"/>
              </w:numPr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Baśń w „realu” czyli jak rzeczywistość XXI wieku wpływa na formę przekładu baśni oraz współczesną literaturę dla dzieci (najnowsze tendencje w twórczości tego gatunku: środki stylistyczne, leksyka, motywy, aksjologia, ikonografia).</w:t>
            </w:r>
          </w:p>
          <w:p w:rsidR="00EE2C0A" w:rsidRPr="00CD15D1" w:rsidRDefault="00EE2C0A" w:rsidP="00CD15D1">
            <w:pPr>
              <w:numPr>
                <w:ilvl w:val="0"/>
                <w:numId w:val="5"/>
              </w:numPr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Przestrzeń aksjologiczna na przykładzie tekstów literatury dziecięcej. </w:t>
            </w:r>
          </w:p>
          <w:p w:rsidR="00EE2C0A" w:rsidRPr="00CD15D1" w:rsidRDefault="00EE2C0A" w:rsidP="00CD15D1">
            <w:pPr>
              <w:numPr>
                <w:ilvl w:val="0"/>
                <w:numId w:val="5"/>
              </w:numPr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Archetypy, symbole, metafory – uniwersalia kulturowe w literaturze dla dzieci i młodzieży.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Analiza literacka i językowa wybranych tekstów literatury dziecięcej - praca z tekstami, np.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Lokomotywy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Tuwima i in. - sposoby wykorzystywania; prezentacje przygotowane przez studentów.</w:t>
            </w:r>
          </w:p>
        </w:tc>
      </w:tr>
      <w:tr w:rsidR="00EE2C0A" w:rsidRPr="00CD15D1" w:rsidTr="00EE7A57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Metodologia badań literaturoznawczych</w:t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auto"/>
          </w:tcPr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1. Romantyczne i pozytywistyczne tendencje w badaniach literackich.</w:t>
            </w:r>
          </w:p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2. Przełom antypozytywistyczny.</w:t>
            </w:r>
          </w:p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3. Psychoanaliza.</w:t>
            </w:r>
          </w:p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4. Marksizm.</w:t>
            </w:r>
          </w:p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5. Fenomenologia.</w:t>
            </w:r>
          </w:p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6. Hermeneutyka.</w:t>
            </w:r>
          </w:p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7. Strukturalizm i poststrukturalizm</w:t>
            </w:r>
          </w:p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8. Feminizm.</w:t>
            </w:r>
          </w:p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9. Historyzm.</w:t>
            </w:r>
          </w:p>
          <w:p w:rsidR="00B265B2" w:rsidRPr="00CD15D1" w:rsidRDefault="00B265B2" w:rsidP="00CD15D1">
            <w:pPr>
              <w:pStyle w:val="Bezodstpw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10. Postkolonializm.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EE7A57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Poetyka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1.Umiejscowienie poetyki wobec działów literaturoznawstwa oraz jej podział.</w:t>
            </w:r>
          </w:p>
          <w:p w:rsidR="0000622D" w:rsidRPr="00CD15D1" w:rsidRDefault="00EE7A57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Genologia – zagadnienia.</w:t>
            </w:r>
            <w:r w:rsidR="0000622D"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3. Stylistyka – zagadnienia. 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4. Wersyfikacja – zagadnienia. 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5. Świat przedstawiony dzieła literackiego. 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6. 13-zgłoskowiec w poezji polskiej – analiza (J. Kochanowski, A. Mickiewicz). 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7. Struktura tekstu artystycznego – analiza lingwistyczno-semantyczna (B. Leśmian).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8. Dialog dramatyczny i dramat – analiza (J. Słowacki, C.K. Norwid, S. Wyspiański).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9. Czas i przestrzeń w dziele literackim.   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10. Problematyka narracji (B. Pruss et al.)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11. Krótkie formy narracyjne: nowela i opowiadanie – analiza porównawcza.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12. Epos a powieść – analiza porównawcza. </w:t>
            </w:r>
          </w:p>
          <w:p w:rsidR="0000622D" w:rsidRPr="00CD15D1" w:rsidRDefault="0000622D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13. Morfologia baśni. </w:t>
            </w:r>
          </w:p>
          <w:p w:rsidR="0000622D" w:rsidRPr="00CD15D1" w:rsidRDefault="0000622D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14. Topos w badaniach literackich.</w:t>
            </w:r>
          </w:p>
          <w:p w:rsidR="00EE2C0A" w:rsidRPr="00CD15D1" w:rsidRDefault="0000622D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15. Określenie „poemat” w poetyce.</w:t>
            </w:r>
          </w:p>
        </w:tc>
      </w:tr>
      <w:tr w:rsidR="00EE2C0A" w:rsidRPr="00CD15D1" w:rsidTr="00EE7A57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Teoria literatury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</w:tc>
        <w:tc>
          <w:tcPr>
            <w:tcW w:w="5528" w:type="dxa"/>
            <w:tcBorders>
              <w:top w:val="single" w:sz="4" w:space="0" w:color="auto"/>
            </w:tcBorders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Dziedziny teorii literatury, związki teorii literatury z innymi dyscyplinami humanistyki. Teoria a metodologia badań literackich, strukturalna teoria dzieła, zagadnienia: prawda, fikcja mimesis, język i tekst, narracja, teoria gatunków, intertekstualność, aksjologia literacka, odbiór i interpretacja, proces historycznoliteracki, tradycja.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Analiza i interpretacja literaturoznawcza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K_K08 P6S_KR</w:t>
            </w: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numPr>
                <w:ilvl w:val="0"/>
                <w:numId w:val="4"/>
              </w:numPr>
              <w:tabs>
                <w:tab w:val="clear" w:pos="720"/>
                <w:tab w:val="num" w:pos="173"/>
              </w:tabs>
              <w:suppressAutoHyphens/>
              <w:snapToGrid w:val="0"/>
              <w:ind w:left="173" w:hanging="17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Sposób istnienia dzieła literackiego.</w:t>
            </w:r>
          </w:p>
          <w:p w:rsidR="00EE2C0A" w:rsidRPr="00CD15D1" w:rsidRDefault="00EE2C0A" w:rsidP="00CD15D1">
            <w:pPr>
              <w:numPr>
                <w:ilvl w:val="0"/>
                <w:numId w:val="4"/>
              </w:numPr>
              <w:tabs>
                <w:tab w:val="clear" w:pos="720"/>
                <w:tab w:val="num" w:pos="173"/>
              </w:tabs>
              <w:suppressAutoHyphens/>
              <w:snapToGrid w:val="0"/>
              <w:ind w:left="173" w:hanging="17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Rola odbiorcy w literackiej sytuacji komunikacyjnej.</w:t>
            </w:r>
          </w:p>
          <w:p w:rsidR="00EE2C0A" w:rsidRPr="00CD15D1" w:rsidRDefault="00EE2C0A" w:rsidP="00CD15D1">
            <w:pPr>
              <w:numPr>
                <w:ilvl w:val="0"/>
                <w:numId w:val="4"/>
              </w:numPr>
              <w:tabs>
                <w:tab w:val="clear" w:pos="720"/>
                <w:tab w:val="num" w:pos="173"/>
              </w:tabs>
              <w:suppressAutoHyphens/>
              <w:snapToGrid w:val="0"/>
              <w:ind w:left="173" w:hanging="17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Etapy badania dzieła literackiego wg J. Sławińskiego.</w:t>
            </w:r>
          </w:p>
          <w:p w:rsidR="00EE2C0A" w:rsidRPr="00CD15D1" w:rsidRDefault="00EE2C0A" w:rsidP="00CD15D1">
            <w:pPr>
              <w:numPr>
                <w:ilvl w:val="0"/>
                <w:numId w:val="4"/>
              </w:numPr>
              <w:tabs>
                <w:tab w:val="clear" w:pos="720"/>
                <w:tab w:val="num" w:pos="173"/>
              </w:tabs>
              <w:suppressAutoHyphens/>
              <w:snapToGrid w:val="0"/>
              <w:ind w:left="173" w:hanging="17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Odczytywanie tekstu, jego kierunek, przebieg i sens. a wybór teoretycznoliterackiego modelu.</w:t>
            </w:r>
          </w:p>
          <w:p w:rsidR="00EE2C0A" w:rsidRPr="00CD15D1" w:rsidRDefault="00EE2C0A" w:rsidP="00CD15D1">
            <w:pPr>
              <w:numPr>
                <w:ilvl w:val="0"/>
                <w:numId w:val="4"/>
              </w:numPr>
              <w:tabs>
                <w:tab w:val="clear" w:pos="720"/>
                <w:tab w:val="num" w:pos="173"/>
              </w:tabs>
              <w:suppressAutoHyphens/>
              <w:snapToGrid w:val="0"/>
              <w:ind w:left="173" w:hanging="17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Badanie tekstu literackiego a metodyka nauczania literatury w szkole.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Wprowadzenie do językoznawstwa historycznego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1. Metody badawcze językoznawstwa diachronicznego, genealogiczna klasyfikacja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języków  (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prajęzyk//przodek językowy, pokrewieństwo językowe//rodzina językowa) wspólnota językowa (problem wspólnoty bałto-słowiańskiej), liga językowa (charakterystyka ligi bałkańskiej). Prasłowiańszczyzna w obrębie rodziny indoeuropejskiej. </w:t>
            </w:r>
          </w:p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2. Etniczno-językowa wspólnota prasłowiańska; językowe wykładniki jej dialektalnego rozpadu i geograficzny układ zespołów dialektalnych. Dzisiejsze ugrupowanie języków słowiańskich. </w:t>
            </w:r>
          </w:p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3. Pierwszy zapisany język Słowian – język staro-cerkiewno-słowiański i jego geneza. </w:t>
            </w:r>
          </w:p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4. Główne tendencje rozwojowe języka prasłowiańskiego (od praindoeuropejskich stosunków ilościowych do prasłowiańskich jakościowych w systemie wokalicznym, prawo sylaby otwartej i prawo korelacji palatalności)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oraz  podporządkowane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im zjawiska językowe (m.in. monoftongizacja dyftongów, powstanie samogłosek nosowych, metateza płynnych w nagłosie i w śródgłosie).</w:t>
            </w:r>
          </w:p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5. Rozwój prasłowiańskiego systemu spółgłoskowego –  </w:t>
            </w:r>
          </w:p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palatalizacje spółgłosek tylnojęzykowych, palatalizacje spółgłosek w wyniku oddziaływania joty.</w:t>
            </w:r>
          </w:p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6. Charakterystyka systemu fleksyjnego – prasłowiańskie typy deklinacyjne i koniugacyjne.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Gramatyka historyczna języka polskiego z elementami dialektologii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(W): Miejsce języka polskiego w rodzinie języków słowiańskich - cechy językowe grupy zachodniosłowiańskiej i jej lechickiego odłamu; metody badań językoznawstwa diachronicznego, rozwój polskiej form deklinacyjnych i koniugacyjnych.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(K): Ewolucja polskiej fonetyki – prasłowiański system wokaliczny i akcentowo-intonacyjny jako podstawa rozwojowa polskiego zasobu fonemów samogłoskowych, zmiany na gruncie polskim. 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Przegłos lechicki i przegłos polski; rozwój samogłosek jerowych; konsekwencje procesu rozwojowego jerów - w szczególności tzw. wzdłużenie zastępcze, rozwój sonantów *r, *r’, *l, *l’ i samogłosek nosowych Zmiany w systemie konsonantycznym: palatalizacje, dyspalatalizacje, powstanie nowych 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fonemów..</w:t>
            </w:r>
            <w:proofErr w:type="gramEnd"/>
          </w:p>
        </w:tc>
      </w:tr>
      <w:tr w:rsidR="00EE2C0A" w:rsidRPr="00CD15D1" w:rsidTr="00247338">
        <w:trPr>
          <w:trHeight w:val="558"/>
        </w:trPr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Historia języka polskiego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(W):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Historia języka polskiego jako subdyscyplina polimetodologiczna; dzieje języka polskiego - rozwój 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badań;  pochodzenie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polszczyzny literackiej w świetle badań językoznawczych i historycznych. Źródła prymarne i sekundarne do dziejów języka polskiego. Wybrane periodyzacje dziejów języka polskiego. Rozwój pisowni polskiej.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(K):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Charakterystyka źródeł do badań dziejów języka polskiego; 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czynniki sprawcze rozwoju polszczyzny w epoce przedpiśmiennej i piśmiennej (staropolskiej, średniopolskiej i nowopolskiej); charakterystyka jakościowa i ilościowa leksyk poszczególnych dób historycznych; funkcjonalna sprawność polszczyzny historycznej. 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FE6762">
        <w:tc>
          <w:tcPr>
            <w:tcW w:w="13887" w:type="dxa"/>
            <w:gridSpan w:val="3"/>
          </w:tcPr>
          <w:p w:rsidR="00EE2C0A" w:rsidRPr="00CD15D1" w:rsidRDefault="00EE2C0A" w:rsidP="00CD15D1">
            <w:pPr>
              <w:tabs>
                <w:tab w:val="num" w:pos="173"/>
              </w:tabs>
              <w:ind w:left="173" w:hanging="1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Nauka o współczesnej polszczyźnie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fonetyka i fonologia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pStyle w:val="NormalnyWeb"/>
              <w:spacing w:before="0" w:beforeAutospacing="0" w:after="0"/>
              <w:jc w:val="both"/>
              <w:rPr>
                <w:color w:val="000000"/>
                <w:sz w:val="20"/>
                <w:szCs w:val="20"/>
              </w:rPr>
            </w:pPr>
            <w:r w:rsidRPr="00CD15D1">
              <w:rPr>
                <w:sz w:val="20"/>
                <w:szCs w:val="20"/>
              </w:rPr>
              <w:t>System językowy i jego podsystemy. System fonologiczny języka polskiego. Fonologia jako nauka o języku. Fonetyka i jej działy. Narządy mowy i ich funkcje artykulacyjne. Spółgłoski, samogłoski, głoski pośrednie. Klasyfikacja spółgłosek polskich. Klasyfikacja samogłosek polskich. Asynchroniczna artykulacja głosek. Uproszczenia grup spółgłoskowych. Zapis fonetyczny. Organizacja ciągu fonicznego. Reguły fonotaktyczne. Głoska a fonem. Opozycje fonologiczne. Alofony i ich typologia. Upodobnienia głosek (alofony pozycyjne a zmiany fonemów). Neutralizacje opozycji fonologicznych.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fleksja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Fleksja jako dział morfologii i podsystem systemu morfologicznego. Leksemy odmienne i nieodmienne. Budowa morfologiczna leksemów odmiennych. Morfy i alomorfy. Morfologiczne kategorie fleksyjne i klasyfikacyjne. Koniugacje i deklinacje. Budowa czasownikowych form fleksyjnych.  Budowa rzeczownikowych form fleksyjnych (synkretyzm i supletywizm). Fleksja nieregularna i osobliwa czasowników. Fleksja nieregularna i osobliwa rzeczowników. Przymiotniki i ich formy fleksyjne. Zaimki i ich formy fleksyjne. Liczebniki i ich formy fleksyjne.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słowotwórstwo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K_K08 P6S_KR</w:t>
            </w: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Słowotwórstwo jako dział morfologii i podsystem systemu morfologicznego. Leksemy niepodzielne i podzielne słowotwórczo. Budowa morfologiczna leksemów podzielnych słowotwórczo. Budowa słowotwórcza wyrazów tekstowych. Pochodność synchroniczna a diachroniczna. Kierunki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motywacji  słowotwórczej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. Typy formantów. Funkcje formantów.  Formacje z konektywem i węzłem morfologicznym, formacje złożone, uniwerbizmy i skrótowce. Aspekt czasownika jako kategoria słowotwórcza. Imiesłowy jako formacje. Stopniowanie przymiotników i przysłówków jako zjawiska słowotwórcze. </w:t>
            </w:r>
          </w:p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Odprzymiotnikowe i odczasownikowe formacje orzeczeniowe i podmiotowe. Kategorie i typy słowotwórcze. Produktywność formantów.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składnia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Składnia jako podsystem języka i jako dział gramatyki. Składnia semantyczna (głębinowa) a składnia strukturalna (powierzchniowa) i składnia szyku. Pojęcie wypowiedzenia i jego typy. Struktura głęboka wypowiedzeń a struktura powierzchniowa i struktura funkcjonalna zdań. Struktury predykatowo-argumentowe z predykatami pierwszego rzędu i wyższego rzędu. Składniki zdania i zespoły składników (szeregi a związki). Czynniki budujące zdania – konotacja i akomodacja. Zdanie 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minimalne i zdanie eliptyczne. Zdania polipredykatywne. Zdania złożone i zdania zestawione. Zdanie elementarne i jego transformy. </w:t>
            </w:r>
          </w:p>
          <w:p w:rsidR="00EE2C0A" w:rsidRPr="00CD15D1" w:rsidRDefault="00EE2C0A" w:rsidP="00CD15D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Transformacje zdaniowe jednego zdania wyjściowego. Transformacje zdaniowe dwóch zdań wyjściowych. Nominalizacje zdania wyjściowego. Transformacje bezokolicznikowe, imiesłowowe i prosentencjalizacje.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Kultura języka polskiego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670C77" w:rsidRPr="00CD15D1" w:rsidRDefault="00670C77" w:rsidP="00CD15D1">
            <w:pPr>
              <w:pStyle w:val="Akapitzlist"/>
              <w:numPr>
                <w:ilvl w:val="0"/>
                <w:numId w:val="21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Zagadnienia poprawności ortograficzno-interpunkcyjnej.</w:t>
            </w:r>
          </w:p>
          <w:p w:rsidR="00670C77" w:rsidRPr="00CD15D1" w:rsidRDefault="00670C77" w:rsidP="00CD15D1">
            <w:pPr>
              <w:pStyle w:val="Akapitzlist"/>
              <w:numPr>
                <w:ilvl w:val="0"/>
                <w:numId w:val="21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Teoria kultury języka polskiego.</w:t>
            </w:r>
          </w:p>
          <w:p w:rsidR="00670C77" w:rsidRPr="00CD15D1" w:rsidRDefault="00670C77" w:rsidP="00CD15D1">
            <w:pPr>
              <w:pStyle w:val="Akapitzlist"/>
              <w:numPr>
                <w:ilvl w:val="0"/>
                <w:numId w:val="21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Najważniejsze pojęcia z zakresu kultury języka.</w:t>
            </w:r>
          </w:p>
          <w:p w:rsidR="00670C77" w:rsidRPr="00CD15D1" w:rsidRDefault="00670C77" w:rsidP="00CD15D1">
            <w:pPr>
              <w:pStyle w:val="Akapitzlist"/>
              <w:numPr>
                <w:ilvl w:val="0"/>
                <w:numId w:val="21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Rozpoznawanie i typologia błędów językowych.</w:t>
            </w:r>
          </w:p>
          <w:p w:rsidR="00EE2C0A" w:rsidRPr="00CD15D1" w:rsidRDefault="00670C77" w:rsidP="00CD15D1">
            <w:pPr>
              <w:pStyle w:val="Akapitzlist"/>
              <w:numPr>
                <w:ilvl w:val="0"/>
                <w:numId w:val="21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Ćwiczenia poprawnościowe na różnych poziomach języka.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Leksykologia i leksykografia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  <w:vAlign w:val="center"/>
          </w:tcPr>
          <w:p w:rsidR="00983839" w:rsidRPr="00CD15D1" w:rsidRDefault="00983839" w:rsidP="00CD15D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D15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Podstawowe pojęcia leksykologii: zapożyczenia, neologizmy, zagadnienia leksykologii </w:t>
            </w:r>
            <w:proofErr w:type="gramStart"/>
            <w:r w:rsidRPr="00CD15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diachronicznej,  archaizmy</w:t>
            </w:r>
            <w:proofErr w:type="gramEnd"/>
            <w:r w:rsidRPr="00CD15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 słownictwo nacechowane terytorialnie, środowiskowo, wartościująco, emocjonalnie, frazeologia, onomastyka.  </w:t>
            </w:r>
          </w:p>
          <w:p w:rsidR="00983839" w:rsidRPr="00CD15D1" w:rsidRDefault="00983839" w:rsidP="00CD15D1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CD15D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Zarys dziejów słownikarstwa polskiego, Typy słowników, Budowa słownika – makrostruktura i mikrostruktura, hasło, artykuł hasłowy, nazwa hasła, kolejność umieszczania informacji w poszczególnych typach słowników; Typy definicji znaczeniowych: realnoznaczeniowa, strukturalno-znaczeniowa, strukturalna, zakresowa, synonimiczna, gramatyczna.</w:t>
            </w:r>
          </w:p>
          <w:p w:rsidR="00EE2C0A" w:rsidRPr="00CD15D1" w:rsidRDefault="00EE2C0A" w:rsidP="00CD15D1">
            <w:pPr>
              <w:pStyle w:val="Akapitzlist"/>
              <w:ind w:left="426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Metodologia badań językoznawczych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1. Metodologiczne podstawy językoznawstwa (przedmiot i typy badań językoznawczych). Kryteria podziału dyscyplin językoznawczych.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2.   Językoznawstwo genealogiczne i typologiczne – typy badań.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3 Charakterystyka dyscyplin językoznawczych ze względu na zakres i aspekt badawczy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–  językoznawstwo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synchroniczne, diachroniczne i porównawcze.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4. Charakterystyka dyscyplin językoznawczych ze względu na przedmiot badania – językoznawstwo wewnętrzne i zewnętrzne.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5. Metodologia z zakresu gramatyki kognitywnej i etnolingwistyki (kulturowe badanie językowego obrazu świata: język jako źródło wiedzy o mentalności, historii i kulturze regionu; ludowa konceptualizacja pojęć; obraz świata, ankieta do badań językowego obrazu pojęć).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6. Metodologia z zakresu socjolingwistyki (dla wykazania współzależności zmian w systemie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językowym  z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czynnikami demograficzno-społecznymi). 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Język łaciński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6SUO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F722E1" w:rsidRPr="00F722E1" w:rsidRDefault="00F722E1" w:rsidP="00F722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22E1" w:rsidRPr="00F722E1" w:rsidRDefault="00F722E1" w:rsidP="00F722E1">
            <w:pPr>
              <w:snapToGrid w:val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gramStart"/>
            <w:r w:rsidRPr="00F722E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ZAGADNIENIA  GRAMATYCZNE</w:t>
            </w:r>
            <w:proofErr w:type="gramEnd"/>
            <w:r w:rsidRPr="00F722E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:</w:t>
            </w:r>
          </w:p>
          <w:p w:rsidR="00F722E1" w:rsidRPr="00F722E1" w:rsidRDefault="00F722E1" w:rsidP="00F722E1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1. Zasady </w:t>
            </w:r>
            <w:proofErr w:type="gramStart"/>
            <w:r w:rsidRPr="00F722E1">
              <w:rPr>
                <w:rFonts w:ascii="Times New Roman" w:hAnsi="Times New Roman" w:cs="Times New Roman"/>
                <w:sz w:val="20"/>
                <w:szCs w:val="20"/>
              </w:rPr>
              <w:t>wymowy  i</w:t>
            </w:r>
            <w:proofErr w:type="gramEnd"/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 akcentowania.</w:t>
            </w:r>
          </w:p>
          <w:p w:rsidR="00F722E1" w:rsidRPr="00F722E1" w:rsidRDefault="00F722E1" w:rsidP="00F722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2. Formy podstawowe czasownika. Indicativus, imperativus </w:t>
            </w:r>
            <w:proofErr w:type="spellStart"/>
            <w:r w:rsidRPr="00F722E1">
              <w:rPr>
                <w:rFonts w:ascii="Times New Roman" w:hAnsi="Times New Roman" w:cs="Times New Roman"/>
                <w:sz w:val="20"/>
                <w:szCs w:val="20"/>
              </w:rPr>
              <w:t>praesentis</w:t>
            </w:r>
            <w:proofErr w:type="spellEnd"/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722E1">
              <w:rPr>
                <w:rFonts w:ascii="Times New Roman" w:hAnsi="Times New Roman" w:cs="Times New Roman"/>
                <w:sz w:val="20"/>
                <w:szCs w:val="20"/>
              </w:rPr>
              <w:t>activi</w:t>
            </w:r>
            <w:proofErr w:type="spellEnd"/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 I – IV koniugacji i </w:t>
            </w:r>
            <w:r w:rsidRPr="00F1264B">
              <w:rPr>
                <w:rFonts w:ascii="Times New Roman" w:hAnsi="Times New Roman" w:cs="Times New Roman"/>
                <w:sz w:val="20"/>
                <w:szCs w:val="20"/>
              </w:rPr>
              <w:t xml:space="preserve">czasownika: </w:t>
            </w:r>
            <w:proofErr w:type="spellStart"/>
            <w:r w:rsidRPr="00F1264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esse</w:t>
            </w:r>
            <w:proofErr w:type="spellEnd"/>
            <w:r w:rsidRPr="00F1264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  <w:p w:rsidR="00F722E1" w:rsidRPr="00F722E1" w:rsidRDefault="00F722E1" w:rsidP="00F722E1">
            <w:pPr>
              <w:pStyle w:val="Bezodstpw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3.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Indicativus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futuri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 et </w:t>
            </w:r>
            <w:proofErr w:type="spellStart"/>
            <w:proofErr w:type="gram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imperfecti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activi</w:t>
            </w:r>
            <w:proofErr w:type="spellEnd"/>
            <w:proofErr w:type="gram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 – IV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koniugacji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czasownika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:</w:t>
            </w:r>
            <w:r w:rsidRPr="00F722E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>esse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. </w:t>
            </w:r>
          </w:p>
          <w:p w:rsidR="00F722E1" w:rsidRPr="00F722E1" w:rsidRDefault="00F722E1" w:rsidP="00F722E1">
            <w:pPr>
              <w:pStyle w:val="Bezodstpw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4.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Indicativus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praesentis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imperfecti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futuri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passivi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koniugacji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 – IV.   </w:t>
            </w:r>
          </w:p>
          <w:p w:rsidR="00F722E1" w:rsidRPr="00F1264B" w:rsidRDefault="00F722E1" w:rsidP="00F722E1">
            <w:pPr>
              <w:pStyle w:val="Bezodstpw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264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 Indicativus </w:t>
            </w:r>
            <w:proofErr w:type="spellStart"/>
            <w:r w:rsidRPr="00F1264B">
              <w:rPr>
                <w:rFonts w:ascii="Times New Roman" w:eastAsia="Times New Roman" w:hAnsi="Times New Roman" w:cs="Times New Roman"/>
                <w:sz w:val="20"/>
                <w:szCs w:val="20"/>
              </w:rPr>
              <w:t>perfecti</w:t>
            </w:r>
            <w:proofErr w:type="spellEnd"/>
            <w:r w:rsidRPr="00F1264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1264B">
              <w:rPr>
                <w:rFonts w:ascii="Times New Roman" w:eastAsia="Times New Roman" w:hAnsi="Times New Roman" w:cs="Times New Roman"/>
                <w:sz w:val="20"/>
                <w:szCs w:val="20"/>
              </w:rPr>
              <w:t>activi</w:t>
            </w:r>
            <w:proofErr w:type="spellEnd"/>
            <w:r w:rsidRPr="00F1264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 – IV koniugacji i czasownika: </w:t>
            </w:r>
            <w:proofErr w:type="spellStart"/>
            <w:r w:rsidRPr="00F1264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esse</w:t>
            </w:r>
            <w:proofErr w:type="spellEnd"/>
            <w:r w:rsidRPr="00F1264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F722E1" w:rsidRPr="00F722E1" w:rsidRDefault="00F722E1" w:rsidP="00F722E1">
            <w:pPr>
              <w:pStyle w:val="Bezodstpw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6.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Indicativus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perfecti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passivi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 –IV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koniugacji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.  </w:t>
            </w:r>
          </w:p>
          <w:p w:rsidR="00F722E1" w:rsidRPr="00F722E1" w:rsidRDefault="00F722E1" w:rsidP="00F722E1">
            <w:pPr>
              <w:pStyle w:val="Bezodstpw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7. Dziedzictwo praindoeuropejskie. Nazwy i pytania przypadków. </w:t>
            </w:r>
          </w:p>
          <w:p w:rsidR="00F722E1" w:rsidRPr="00F722E1" w:rsidRDefault="00F722E1" w:rsidP="00F722E1">
            <w:pPr>
              <w:pStyle w:val="Bezodstpw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8. Odmiana rzeczownika - deklinacje I – V.  </w:t>
            </w:r>
          </w:p>
          <w:p w:rsidR="00F722E1" w:rsidRPr="00F722E1" w:rsidRDefault="00F722E1" w:rsidP="00F722E1">
            <w:pPr>
              <w:pStyle w:val="Bezodstpw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9. Budowa zdania łacińskiego. Funkcje przypadków. Rodzaje orzeczenia. </w:t>
            </w:r>
          </w:p>
          <w:p w:rsidR="00F722E1" w:rsidRPr="00F722E1" w:rsidRDefault="00F722E1" w:rsidP="00F722E1">
            <w:pPr>
              <w:pStyle w:val="Bezodstpw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10.Przymiotniki I </w:t>
            </w:r>
            <w:proofErr w:type="spell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  <w:proofErr w:type="spell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II </w:t>
            </w:r>
            <w:proofErr w:type="gramStart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</w:rPr>
              <w:t>oraz  III</w:t>
            </w:r>
            <w:proofErr w:type="gramEnd"/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deklinacji.   </w:t>
            </w:r>
          </w:p>
          <w:p w:rsidR="00F722E1" w:rsidRPr="00F722E1" w:rsidRDefault="00F722E1" w:rsidP="00F722E1">
            <w:pPr>
              <w:pStyle w:val="Bezodstpw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</w:rPr>
              <w:t>11.Zaimki osobowe oraz dzierżawcze. Zaimek zwrotny. Zaimek względny. Zaimki pytajne.</w:t>
            </w:r>
          </w:p>
          <w:p w:rsidR="00F722E1" w:rsidRPr="00F722E1" w:rsidRDefault="00F722E1" w:rsidP="00F722E1">
            <w:pPr>
              <w:pStyle w:val="Bezodstpw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</w:rPr>
              <w:t>12. Liczebniki główne i porządkowe 1 – 1000</w:t>
            </w:r>
          </w:p>
          <w:p w:rsidR="00F722E1" w:rsidRPr="00F722E1" w:rsidRDefault="00F722E1" w:rsidP="00F722E1">
            <w:pPr>
              <w:pStyle w:val="Bezodstpw"/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F722E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ZAGADNIENIA DOTYCZĄCE DZIEDZICTWA KULTUROWEGO:</w:t>
            </w:r>
          </w:p>
          <w:p w:rsidR="00F722E1" w:rsidRPr="00F722E1" w:rsidRDefault="00F722E1" w:rsidP="00F722E1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1. Rola języka łacińskiego </w:t>
            </w:r>
            <w:proofErr w:type="gramStart"/>
            <w:r w:rsidRPr="00F722E1">
              <w:rPr>
                <w:rFonts w:ascii="Times New Roman" w:hAnsi="Times New Roman" w:cs="Times New Roman"/>
                <w:sz w:val="20"/>
                <w:szCs w:val="20"/>
              </w:rPr>
              <w:t>w  kulturze</w:t>
            </w:r>
            <w:proofErr w:type="gramEnd"/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 europejskiej oraz polskiej.  </w:t>
            </w:r>
          </w:p>
          <w:p w:rsidR="00F722E1" w:rsidRPr="00F722E1" w:rsidRDefault="00F722E1" w:rsidP="00F722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2.Wybrane zagadnienia dotyczące: </w:t>
            </w:r>
          </w:p>
          <w:p w:rsidR="00F722E1" w:rsidRPr="00F722E1" w:rsidRDefault="00F722E1" w:rsidP="00F722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   - historii starożytnej </w:t>
            </w:r>
            <w:proofErr w:type="gramStart"/>
            <w:r w:rsidRPr="00F722E1">
              <w:rPr>
                <w:rFonts w:ascii="Times New Roman" w:hAnsi="Times New Roman" w:cs="Times New Roman"/>
                <w:sz w:val="20"/>
                <w:szCs w:val="20"/>
              </w:rPr>
              <w:t>literatury  greckiej</w:t>
            </w:r>
            <w:proofErr w:type="gramEnd"/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 i rzymskiej </w:t>
            </w:r>
          </w:p>
          <w:p w:rsidR="00F722E1" w:rsidRPr="00F722E1" w:rsidRDefault="00F722E1" w:rsidP="00F722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   -  mitologii oraz religii greckiej i rzymskiej</w:t>
            </w:r>
          </w:p>
          <w:p w:rsidR="00F722E1" w:rsidRPr="00F722E1" w:rsidRDefault="00F722E1" w:rsidP="00F722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   - życia codziennego starożytnych Greków i Rzymian </w:t>
            </w:r>
          </w:p>
          <w:p w:rsidR="00F722E1" w:rsidRPr="00F722E1" w:rsidRDefault="00F722E1" w:rsidP="00F722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sz w:val="20"/>
                <w:szCs w:val="20"/>
              </w:rPr>
              <w:t xml:space="preserve">    - greckiej oraz rzymskiej antycznej sztuki i architektury  </w:t>
            </w:r>
          </w:p>
          <w:p w:rsidR="00F722E1" w:rsidRPr="00F722E1" w:rsidRDefault="00F722E1" w:rsidP="00F722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sz w:val="20"/>
                <w:szCs w:val="20"/>
              </w:rPr>
              <w:t>3. Recepcja antyku w kulturze polskiej oraz europejskiej.</w:t>
            </w:r>
          </w:p>
          <w:p w:rsidR="00F722E1" w:rsidRPr="00F722E1" w:rsidRDefault="00F722E1" w:rsidP="00F722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722E1">
              <w:rPr>
                <w:rFonts w:ascii="Times New Roman" w:hAnsi="Times New Roman" w:cs="Times New Roman"/>
                <w:sz w:val="20"/>
                <w:szCs w:val="20"/>
              </w:rPr>
              <w:t>4. Historia kalendarza juliańskiego oraz juliańsko-gregoriańskiego.</w:t>
            </w:r>
          </w:p>
          <w:p w:rsidR="00EE2C0A" w:rsidRPr="00CD15D1" w:rsidRDefault="00EE2C0A" w:rsidP="00CD15D1">
            <w:pPr>
              <w:pStyle w:val="NormalnyWeb"/>
              <w:spacing w:after="0"/>
              <w:ind w:left="315"/>
              <w:rPr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Elementy kultury antycznej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6S_KR</w:t>
            </w:r>
          </w:p>
        </w:tc>
        <w:tc>
          <w:tcPr>
            <w:tcW w:w="5528" w:type="dxa"/>
            <w:shd w:val="clear" w:color="auto" w:fill="auto"/>
          </w:tcPr>
          <w:p w:rsidR="006C5986" w:rsidRPr="00CD15D1" w:rsidRDefault="006C5986" w:rsidP="00CD15D1">
            <w:pPr>
              <w:pStyle w:val="Akapitzlist"/>
              <w:numPr>
                <w:ilvl w:val="0"/>
                <w:numId w:val="19"/>
              </w:numPr>
              <w:spacing w:after="160"/>
              <w:ind w:left="175" w:hanging="17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W ramach zajęć studenci zapoznają się z podstawowymi metodami czytania Biblii oraz analizami tychże fragmentów (Pieśń nad Pieśniami, Ks. Hioba, Ewangelia, Apokalipsy)</w:t>
            </w:r>
          </w:p>
          <w:p w:rsidR="006C5986" w:rsidRPr="00CD15D1" w:rsidRDefault="006C5986" w:rsidP="00CD15D1">
            <w:pPr>
              <w:pStyle w:val="Akapitzlist"/>
              <w:numPr>
                <w:ilvl w:val="0"/>
                <w:numId w:val="19"/>
              </w:numPr>
              <w:spacing w:after="160"/>
              <w:ind w:left="175" w:hanging="17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Zapoznają się również z podstawowymi tekstami literatury starożytnej Grecji oraz sposobami ich intepretowania, literaturoznawczymi oraz kulturoznawczymi (m.in. „Iliada”, dramaty Ajschylosa, Sofoklesa, poezja Safony).</w:t>
            </w:r>
          </w:p>
          <w:p w:rsidR="006C5986" w:rsidRPr="00CD15D1" w:rsidRDefault="006C5986" w:rsidP="00CD15D1">
            <w:pPr>
              <w:pStyle w:val="Akapitzlist"/>
              <w:numPr>
                <w:ilvl w:val="0"/>
                <w:numId w:val="19"/>
              </w:numPr>
              <w:spacing w:after="160"/>
              <w:ind w:left="175" w:hanging="17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Poznają znaczenie mitu w literaturze i wyobraźni symbolicznej społeczeństw.</w:t>
            </w:r>
          </w:p>
          <w:p w:rsidR="00EE2C0A" w:rsidRPr="00CD15D1" w:rsidRDefault="006C5986" w:rsidP="00CD15D1">
            <w:pPr>
              <w:pStyle w:val="Akapitzlist"/>
              <w:numPr>
                <w:ilvl w:val="0"/>
                <w:numId w:val="19"/>
              </w:numPr>
              <w:spacing w:after="160"/>
              <w:ind w:left="175" w:hanging="17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Zapoznają się również z podstawowymi tekstami literatury starożytnej Grecji oraz sposobami ich intepretowania, literaturoznawczymi oraz kulturoznawczymi (m.in. Owidiusz, Seneka, Petroniiusz).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Wiedza o kulturze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K_K08 P6S_KR</w:t>
            </w:r>
          </w:p>
        </w:tc>
        <w:tc>
          <w:tcPr>
            <w:tcW w:w="5528" w:type="dxa"/>
            <w:shd w:val="clear" w:color="auto" w:fill="auto"/>
          </w:tcPr>
          <w:p w:rsidR="00FF4479" w:rsidRPr="00CD15D1" w:rsidRDefault="00FF4479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Wiedza o kulturze – uwagi wstępne.</w:t>
            </w:r>
          </w:p>
          <w:p w:rsidR="00FF4479" w:rsidRPr="00CD15D1" w:rsidRDefault="00FF4479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Tendencje w kulturze XIX i XX wieku.</w:t>
            </w:r>
          </w:p>
          <w:p w:rsidR="00FF4479" w:rsidRPr="00CD15D1" w:rsidRDefault="00FF4479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Geneza i rozwój kultury nowoczesnej.</w:t>
            </w:r>
          </w:p>
          <w:p w:rsidR="00FF4479" w:rsidRPr="00CD15D1" w:rsidRDefault="00FF4479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Dwa obiegi kultury nowoczesnej</w:t>
            </w:r>
          </w:p>
          <w:p w:rsidR="00FF4479" w:rsidRPr="00CD15D1" w:rsidRDefault="00FF4479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Filozoficzne podstawy modernizmu europejskiego.</w:t>
            </w:r>
          </w:p>
          <w:p w:rsidR="00FF4479" w:rsidRPr="00CD15D1" w:rsidRDefault="00FF4479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Ekspresje kultury nowoczesnej.</w:t>
            </w:r>
          </w:p>
          <w:p w:rsidR="00FF4479" w:rsidRPr="00CD15D1" w:rsidRDefault="00FF4479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7-9. Artystyczna polifonia modernizmu.</w:t>
            </w:r>
          </w:p>
          <w:p w:rsidR="00FF4479" w:rsidRPr="00CD15D1" w:rsidRDefault="00FF4479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Filozoficzne podstawy ponowoczesności.</w:t>
            </w:r>
          </w:p>
          <w:p w:rsidR="00FF4479" w:rsidRPr="00CD15D1" w:rsidRDefault="00FF4479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Tendencje kultury ponowoczesnej.</w:t>
            </w:r>
          </w:p>
          <w:p w:rsidR="00FF4479" w:rsidRPr="00CD15D1" w:rsidRDefault="00FF4479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Estetyki ponowoczesne.</w:t>
            </w:r>
          </w:p>
          <w:p w:rsidR="00FF4479" w:rsidRPr="00CD15D1" w:rsidRDefault="00FF4479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Sztuka epoki ponowoczesnej.</w:t>
            </w:r>
          </w:p>
          <w:p w:rsidR="00FF4479" w:rsidRPr="00CD15D1" w:rsidRDefault="00FF4479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Kultura i polityka.</w:t>
            </w:r>
          </w:p>
          <w:p w:rsidR="00EE2C0A" w:rsidRPr="00CD15D1" w:rsidRDefault="00FF4479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Nowoczesność - ponowoczesność. Próba porównania.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Nauki pomocnicze filologii polskiej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6F2023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Teoria bibliografii w zarysie</w:t>
            </w:r>
            <w:r w:rsidRPr="00CD15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: podział bibliografii; systematyzacja opisów w spisach bibliograficznych; układy bibliografii (formalne, rzeczowe) i spisy pomocnicze w bibliografiach (indeksy); rodzaje opracowań bibliograficznych (ogólne, specjalistyczne, wydawniczo-formalne i treściowe, kompletne i selekcyjne); </w:t>
            </w:r>
            <w:r w:rsidRPr="00CD15D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historia spisów bibliograficznych w Polsce. 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Podstawowe zasady sporządzania opisu bibliograficznego pełnego i skróconego (wydawnictw samodzielnych i niesamodzielnych wydawniczo) oraz technika sporządzania bibliografii załącznikowej – teoria i ćwiczenia: t</w:t>
            </w:r>
            <w:r w:rsidRPr="00CD15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echnika opisu bibliograficznego wydawnictwa zwartego /książki jednotomowej, wielotomowej/, odrębnej pracy opublikowanej w książce jednotomowej oraz wielotomowej, rozdziału (fragmentu) z tomu książki wielotomowej i z książki jednotomowej, fragmentu w encyklopedii, utworu w książce jednotomowej, artykułu (recenzji) wydawnictw ciągłych; technika sporządzania bibliografii: podmiotowej, przedmiotowej; zasady i sposób sporządzania odsyłaczy i przypisów w pracach naukowych.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Bibliografie w badaniach literackich (charakterystyka budowy, zakresu, zasięgu, układu i indeksów): a. Bibliografie ogólne: „Bibliografia polska” Karola Estreichera; </w:t>
            </w:r>
            <w:r w:rsidRPr="00CD15D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Bibliografie ogólne bieżące druków zwartych </w:t>
            </w:r>
            <w:r w:rsidRPr="00CD15D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i czasopism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CD15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„Przewodnik Bibliograficzny”; „Bibliografia Zawartości Czasopism”; „Polonica Zagraniczne. Bibliografia”; „Bibliografia Czasopism i Wydawnictw Zbiorowych”), b. 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Bibliografie literackie polskie (</w:t>
            </w:r>
            <w:r w:rsidRPr="00CD15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Bibliografia Gabriela Korbuta; Bibliografia Literatury Polskiej „Nowy Korbut”, </w:t>
            </w:r>
            <w:r w:rsidRPr="00CD15D1">
              <w:rPr>
                <w:rFonts w:ascii="Times New Roman" w:hAnsi="Times New Roman" w:cs="Times New Roman"/>
                <w:bCs/>
                <w:sz w:val="20"/>
                <w:szCs w:val="20"/>
              </w:rPr>
              <w:t>„Polska Bibliografia Literacka” i inne bibliografie specjalne); Najważniejsze biblioteki w Polsce i muzea regionalne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; Słowniki, leksykony literackie i kulturowe; Pisarskie słowniki językowe, Encyklopedie; Syntezy literackie; Serie wydawnicze; Biografie i monografie naukowe; Periodyki polonistyczne;</w:t>
            </w:r>
            <w:r w:rsidRPr="00CD15D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Internet w pracy polonisty – bazy danych, wyszukiwarki </w:t>
            </w:r>
            <w:r w:rsidRPr="00CD15D1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/Biblioteka Narodowa, NUKAT, KARO itp./, biblioteki cyfrowe, Polska Biblioteka Internetowa/, przydatne strony internetowe, czasopisma w sieci.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Historia Polski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Prehistoria ziem polskich.</w:t>
            </w:r>
          </w:p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Początki państwa polskiego.</w:t>
            </w:r>
          </w:p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Polska Piastów. </w:t>
            </w:r>
          </w:p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Polska Andegawenów.</w:t>
            </w:r>
          </w:p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Polska Jagiellonów.</w:t>
            </w:r>
          </w:p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Polska królów elekcyjnych.</w:t>
            </w:r>
          </w:p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Polska pod zaborami.</w:t>
            </w:r>
          </w:p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Polska w czasie I wojny światowej.</w:t>
            </w:r>
          </w:p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Okres między wojnami.</w:t>
            </w:r>
          </w:p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Polska w czasie II wojny światowej.</w:t>
            </w:r>
          </w:p>
          <w:p w:rsidR="00194F4D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Polska w latach 1945 – 1989.</w:t>
            </w:r>
          </w:p>
          <w:p w:rsidR="00EE2C0A" w:rsidRPr="00CD15D1" w:rsidRDefault="00194F4D" w:rsidP="00CD15D1">
            <w:pPr>
              <w:pStyle w:val="Akapitzlist"/>
              <w:numPr>
                <w:ilvl w:val="0"/>
                <w:numId w:val="16"/>
              </w:numPr>
              <w:suppressAutoHyphens/>
              <w:autoSpaceDN w:val="0"/>
              <w:ind w:left="315" w:hanging="284"/>
              <w:contextualSpacing w:val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Polska po roku 1989.  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Historia filozofii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Czym jest filozofia, jej działy, geneza filozofii jako refleksji (koncepcje presokratyków, filozof jako mędrzec).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Postać i dzieło Sokratesa, jego metoda. Sokrates, cynicy, sofiści – podobieństwa i różnice stanowisk filozoficznych. Filozofia Platona i Arystotelesa (metafizyka, etyka, główne pojęcia).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Szkoły etyczne okresu hellenistycznego (stoicy, epikurejczycy, sceptycy). Spotkanie myśli grecko – rzymskiej i chrześcijańskiej (Filon z Aleksandrii, Plotyn, Tertulian, Orygenes).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Filozofia św. Augustyna. Główne nurty filozofii średniowiecznej (mistycyzm, scholastyka, intelektualizm, woluntaryzm, logika średniowieczna). Filozofia św. Tomasza z Akwinu.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 xml:space="preserve">Główne nurty myśli renesansowej (Mikołaj z Kuzy, Alberti, L. da Vinci, Erazm z Rotterdamu, N. Machiavelli, T. Morus, 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J. Kalwin, G. Bruno, F. Bacon, T. Campanella, M. de Montaigne).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Filozofia XVII wieku (Kartezjusz, B. Pascal, B. Spinoza, T. Hobbes, G. Leibniz). Filozofia brytyjska (J. Locke, G. Berkeley, D. Hume).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Oświecenie w filozofii (Wolter, Helwetius, Holbach, D. Diderot, J.-J. Rousseau, I. Kant).</w:t>
            </w:r>
          </w:p>
          <w:p w:rsidR="00404D7B" w:rsidRPr="00F1264B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</w:pPr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  <w:t>8.</w:t>
            </w:r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  <w:tab/>
            </w:r>
            <w:proofErr w:type="spellStart"/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  <w:t>Transcendentalizm</w:t>
            </w:r>
            <w:proofErr w:type="spellEnd"/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  <w:t>niemiecki</w:t>
            </w:r>
            <w:proofErr w:type="spellEnd"/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  <w:t xml:space="preserve"> (J. G. Fichte, F. W. Schelling, G. W. Hegel).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Filozofia I połowy XIX w. (L. Feuerbach, M. Stirner, S. Kierkegaard). Myśl pozytywistyczna (A. Comte, J. Stuart Mill, H. Spencer). Materializm dialektyczny K. Marksa.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Filozofia A. Schopenhauera, F. Nietzschego, H. Bergsona.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Neopozytywizm i filozofia analityczna. Filozofia nauki K. R. Poppera.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Psychoanaliza Z. Freuda i jego uczniów (C. G. Jung, E. Fromm).</w:t>
            </w:r>
          </w:p>
          <w:p w:rsidR="00404D7B" w:rsidRPr="00F1264B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</w:t>
            </w:r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 xml:space="preserve">Fenomenologia i hermeneutyka (E. Husserl, M. </w:t>
            </w:r>
            <w:proofErr w:type="spellStart"/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Scheler</w:t>
            </w:r>
            <w:proofErr w:type="spellEnd"/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N. Hartmann, W. Dilthey, M. Eliade). Egzystencjalizm XX wieku (M. Heidegger, J.-P. Sartre, S. de Beauvoir, K. Jaspers, G. Marcel, A. Camus).</w:t>
            </w:r>
          </w:p>
          <w:p w:rsidR="00404D7B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</w:t>
            </w:r>
            <w:r w:rsidRPr="00F1264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 xml:space="preserve">Tomizm i personalizm XX wieku (J. Maritain, E. Mounier, P. T. de Chardin). 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Kantyzm i szkoła marburska (H. Cohen, P. Natorp). Teorie postmodernistyczne. </w:t>
            </w:r>
          </w:p>
          <w:p w:rsidR="00EE2C0A" w:rsidRPr="00CD15D1" w:rsidRDefault="00404D7B" w:rsidP="00CD15D1">
            <w:pPr>
              <w:ind w:left="315" w:hanging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Zarys filozofii polskiej (początki – Marcin Polak, Witelo, Mateusz z Krakowa, Paweł z Worczyna, XVII i XVIII wiek – Szymon Budny, Faust Socyn, H. Kołłątaj, Jan Śniadecki, XIX wiek – B. F. Trentowski, K. Libelt, A. Świętochowski, J. Ochorowicz, A. Marburg, XX wiek – szkoła lwowsko – warszawska, S. Brzozowski, E, Abramowski, L. Krzywicki, W. Tatarkiewicz, F. Znaniecki, R. Ingarden, H. Elzenberg).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Technologia informacyjna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suppressAutoHyphens/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 Uczelniany system informatyczny – technologia i wykorzystanie zasobów technologicznych serwera uczelnianego</w:t>
            </w:r>
          </w:p>
          <w:p w:rsidR="00EE2C0A" w:rsidRPr="00CD15D1" w:rsidRDefault="00EE2C0A" w:rsidP="00CD15D1">
            <w:pPr>
              <w:suppressAutoHyphens/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 Praca w chmurze obliczeniowej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technologia chmury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udostępnianie pliku w chmurze (prawa dostępu)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pobieranie plików z chmury na dysk lokalny (formaty plików)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wysyłanie plików z dysku lokalnego do chmury (przesyłanie, import)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 kontrola pracy użytkowników pliku (historia zmian zawartości pliku)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publikacja pliku "chmurowego" w internecie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 wyszukiwanie i instalacja oprogramowania użytkowego w chmurze.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 Praca w edytorze tekstowym chmurze – przetwarzanie tekstów.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 Grafika prezentacyjna w chmurze.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5.Tworzenie schematów blokowych i organizacyjnych przedsięwzięcia i projektu w chmurze. Udostępnianie zasobów w chmurze.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 Kodowanie i szyfrowanie informacji z wykorzystaniem kodów QR.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 Przetwarzanie bazy danych; tworzenie business planu.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 Poszukiwanie, weryfikacja i ważenie informacji znalezionych w sieci Internet.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 Automatyzacja prac w edytorze tekstowym: korespondencja seryjna; automatyczne tworzenie spisu treści; generowanie indeksu.</w:t>
            </w:r>
          </w:p>
          <w:p w:rsidR="00EE2C0A" w:rsidRPr="00CD15D1" w:rsidRDefault="00EE2C0A" w:rsidP="00CD15D1">
            <w:pPr>
              <w:ind w:left="173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 Blog jako kanał dystrybucji informacji.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FE6762">
        <w:tc>
          <w:tcPr>
            <w:tcW w:w="13887" w:type="dxa"/>
            <w:gridSpan w:val="3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Blok psychologiczno-pedagogiczny: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Pedagogika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Specyfika bycia i uczenia się z rówieśnikami oraz od rówieśników.</w:t>
            </w:r>
          </w:p>
          <w:p w:rsidR="00EE2C0A" w:rsidRPr="00CD15D1" w:rsidRDefault="00EE2C0A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Znaczenie strategii uczenia się dla adaptacji ucznia w zmieniającej się rzeczywistości szkolnej.</w:t>
            </w:r>
          </w:p>
          <w:p w:rsidR="00EE2C0A" w:rsidRPr="00CD15D1" w:rsidRDefault="00EE2C0A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 xml:space="preserve">Nauczyciel w roli diagnosty środowiska dydaktyczno-wychowawczego. </w:t>
            </w:r>
          </w:p>
          <w:p w:rsidR="00EE2C0A" w:rsidRPr="00CD15D1" w:rsidRDefault="00EE2C0A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Program wychowawczy jako projekt wspierania: (1) uczniów w byciu (i stawaniu się) świadomymi własnych: praw, obowiązków, możliwości, zdolności, predyspozycji, szans i zagrożeń uczestnikami życia rodzinnego i społeczno-kulturalnego; (2) środowiska rodzinnego uczniów i współpracy z rodzicami/opiekunami.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Psychologia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ind w:left="175" w:hanging="17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Obszary rozwoju i obszary ryzyka na poszczególnych etapach rozwoju dzieci i młodzieży szkolnej</w:t>
            </w:r>
          </w:p>
          <w:p w:rsidR="00EE2C0A" w:rsidRPr="00CD15D1" w:rsidRDefault="00EE2C0A" w:rsidP="00CD15D1">
            <w:pPr>
              <w:ind w:left="175" w:hanging="17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Jak pracować z uczniem o szczególnych uzdolnieniach kierunkowych</w:t>
            </w:r>
          </w:p>
          <w:p w:rsidR="00EE2C0A" w:rsidRPr="00CD15D1" w:rsidRDefault="00EE2C0A" w:rsidP="00CD15D1">
            <w:pPr>
              <w:ind w:left="175" w:hanging="17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Realizacja Rozporządzenia MEN o pomocy psychologiczno-pedagogicznej w szkołach</w:t>
            </w:r>
          </w:p>
          <w:p w:rsidR="00EE2C0A" w:rsidRPr="00CD15D1" w:rsidRDefault="00EE2C0A" w:rsidP="00CD15D1">
            <w:pPr>
              <w:ind w:left="175" w:hanging="17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Rozpoznawanie trudności uczniów</w:t>
            </w:r>
          </w:p>
          <w:p w:rsidR="00EE2C0A" w:rsidRPr="00CD15D1" w:rsidRDefault="00EE2C0A" w:rsidP="00CD15D1">
            <w:pPr>
              <w:ind w:left="175" w:hanging="17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5.</w:t>
            </w: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  <w:t>Sposoby pracy z uczniami przejawiającymi trudności rozwojowe.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Pedagogika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Projektowanie działań opiekuńczo-wychowawczych (zadania rozwojowe a cele wychowania; konflikty z rówieśnikami; kryzys autorytetu rodzica i nauczyciela; konflikty z rodzicami i nauczycielami; pułapki opieki i wychowania; rola oraz zadania nauczyciela i wychowawcy: stymulowanie rozwoju społeczno-moralnego uczniów, rozwiązywanie konfliktów, mediacje; społeczne otoczenie rodziny w procesie wychowania ucznia – szanse i zagrożenia: aspekt edukacyjny, agresja, uzależnienia, grupy nieformalne, przemoc).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Psychologia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pStyle w:val="Akapitzlist"/>
              <w:numPr>
                <w:ilvl w:val="0"/>
                <w:numId w:val="7"/>
              </w:numPr>
              <w:ind w:left="173" w:hanging="173"/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Procesy poznawcze. Odbieranie wrażeń, spostrzeganie. Uwaga. Pamięć. Myślenie i rozwiązywanie problemów. Regulacyjna funkcja procesów poznawczych.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7"/>
              </w:numPr>
              <w:ind w:left="173" w:hanging="173"/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Uczenie się.  Warunkowanie klasyczne, instrumentalne, społeczna teoria uczenia się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7"/>
              </w:numPr>
              <w:ind w:left="173" w:hanging="173"/>
              <w:contextualSpacing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Procesy emocji i motywacji. Pojęcie, struktura. Regulacyjna funkcja procesów emocjonalno-motywacyjnych. </w:t>
            </w:r>
          </w:p>
          <w:p w:rsidR="00EE2C0A" w:rsidRPr="00CD15D1" w:rsidRDefault="00EE2C0A" w:rsidP="00CD15D1">
            <w:pPr>
              <w:ind w:left="173" w:hanging="173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Opcjonalnie: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Stres,  frustracja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, sytuacja trudna. Inne typy stresu. Pojęcia, mechanizmy działania, radzenie sobie. Temperament, typy, temperament a działanie.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Praktyka śródroczna psychologiczno-pedagogiczna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K_K03 P6S_KO</w:t>
            </w: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1. Zapoznanie się ze specyfiką szkoły.</w:t>
            </w:r>
          </w:p>
          <w:p w:rsidR="00EE2C0A" w:rsidRPr="00CD15D1" w:rsidRDefault="00EE2C0A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2. Obserwowanie:</w:t>
            </w:r>
          </w:p>
          <w:p w:rsidR="00EE2C0A" w:rsidRPr="00CD15D1" w:rsidRDefault="00CD15D1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EE2C0A" w:rsidRPr="00CD15D1">
              <w:rPr>
                <w:rFonts w:ascii="Times New Roman" w:hAnsi="Times New Roman" w:cs="Times New Roman"/>
                <w:sz w:val="20"/>
                <w:szCs w:val="20"/>
              </w:rPr>
              <w:t>aktywności formalnych i nieformalnych grup uczniów oraz pojedynczych uczniów, szczególnie ze</w:t>
            </w:r>
          </w:p>
          <w:p w:rsidR="00EE2C0A" w:rsidRPr="00CD15D1" w:rsidRDefault="00EE2C0A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specjalnymi potrzebami edukacyjnymi</w:t>
            </w:r>
          </w:p>
          <w:p w:rsidR="00EE2C0A" w:rsidRPr="00CD15D1" w:rsidRDefault="00CD15D1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EE2C0A" w:rsidRPr="00CD15D1">
              <w:rPr>
                <w:rFonts w:ascii="Times New Roman" w:hAnsi="Times New Roman" w:cs="Times New Roman"/>
                <w:sz w:val="20"/>
                <w:szCs w:val="20"/>
              </w:rPr>
              <w:t>procesów komunikowania się różnych podmiotów edukacyjnych i ich zakłóceń</w:t>
            </w:r>
          </w:p>
          <w:p w:rsidR="00EE2C0A" w:rsidRPr="00CD15D1" w:rsidRDefault="00CD15D1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EE2C0A" w:rsidRPr="00CD15D1">
              <w:rPr>
                <w:rFonts w:ascii="Times New Roman" w:hAnsi="Times New Roman" w:cs="Times New Roman"/>
                <w:sz w:val="20"/>
                <w:szCs w:val="20"/>
              </w:rPr>
              <w:t>dynamiki grupy, ról pełnionych przez uczestników grupy</w:t>
            </w:r>
          </w:p>
          <w:p w:rsidR="00EE2C0A" w:rsidRPr="00CD15D1" w:rsidRDefault="00CD15D1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EE2C0A"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zajęć prowadzonych przez opiekuna praktyk </w:t>
            </w:r>
            <w:proofErr w:type="gramStart"/>
            <w:r w:rsidR="00EE2C0A" w:rsidRPr="00CD15D1">
              <w:rPr>
                <w:rFonts w:ascii="Times New Roman" w:hAnsi="Times New Roman" w:cs="Times New Roman"/>
                <w:sz w:val="20"/>
                <w:szCs w:val="20"/>
              </w:rPr>
              <w:t>( pedagoga</w:t>
            </w:r>
            <w:proofErr w:type="gramEnd"/>
            <w:r w:rsidR="00EE2C0A"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szkolnego, psychologa, wychowawcy</w:t>
            </w:r>
          </w:p>
          <w:p w:rsidR="00EE2C0A" w:rsidRPr="00CD15D1" w:rsidRDefault="00EE2C0A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świetlicy).</w:t>
            </w:r>
          </w:p>
          <w:p w:rsidR="00EE2C0A" w:rsidRPr="00CD15D1" w:rsidRDefault="00EE2C0A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3.Współdziałanie z opiekunem praktyk (pedagogiem szkolnym, psychologiem, wychowawcą świetlicy,</w:t>
            </w:r>
          </w:p>
          <w:p w:rsidR="00EE2C0A" w:rsidRPr="00CD15D1" w:rsidRDefault="00EE2C0A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wychowawcą klasy).</w:t>
            </w:r>
          </w:p>
          <w:p w:rsidR="00EE2C0A" w:rsidRPr="00CD15D1" w:rsidRDefault="00EE2C0A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4. Pełnienie roli opiekuna-wychowawcy.</w:t>
            </w:r>
          </w:p>
          <w:p w:rsidR="00EE2C0A" w:rsidRPr="00CD15D1" w:rsidRDefault="00EE2C0A" w:rsidP="00CD15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5.Analiza oraz interpretacja zaobserwowanych albo doświadczanych sytuacji pedagogicznych.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Podstawy dydaktyki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pStyle w:val="Akapitzlist"/>
              <w:numPr>
                <w:ilvl w:val="0"/>
                <w:numId w:val="8"/>
              </w:numPr>
              <w:tabs>
                <w:tab w:val="clear" w:pos="720"/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Obszary badawcze pedagogiki, dydaktyki ogólnej i dydaktyk szczegółowych, charakter dydaktyki jako nauki, jej przedmiot i zadania.</w:t>
            </w:r>
          </w:p>
          <w:p w:rsidR="00EE2C0A" w:rsidRPr="00CD15D1" w:rsidRDefault="00EE2C0A" w:rsidP="00CD15D1">
            <w:pPr>
              <w:numPr>
                <w:ilvl w:val="0"/>
                <w:numId w:val="8"/>
              </w:numPr>
              <w:tabs>
                <w:tab w:val="clear" w:pos="720"/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Procesy dydaktyczne (kształcenie i samokształcenie).</w:t>
            </w:r>
          </w:p>
          <w:p w:rsidR="00EE2C0A" w:rsidRPr="00CD15D1" w:rsidRDefault="00EE2C0A" w:rsidP="00CD15D1">
            <w:pPr>
              <w:numPr>
                <w:ilvl w:val="0"/>
                <w:numId w:val="8"/>
              </w:numPr>
              <w:tabs>
                <w:tab w:val="clear" w:pos="720"/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Zasady kształcenia (systemowości, poglądowości, samodzielności, związku teorii z praktyką, efektywności, przystępności, indywidualizacji i uspołecznienia) oraz strategie nauczania.</w:t>
            </w:r>
          </w:p>
          <w:p w:rsidR="00EE2C0A" w:rsidRPr="00CD15D1" w:rsidRDefault="00EE2C0A" w:rsidP="00CD15D1">
            <w:pPr>
              <w:numPr>
                <w:ilvl w:val="0"/>
                <w:numId w:val="8"/>
              </w:numPr>
              <w:tabs>
                <w:tab w:val="clear" w:pos="720"/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Typy budowy lekcji   </w:t>
            </w:r>
          </w:p>
          <w:p w:rsidR="00EE2C0A" w:rsidRPr="00CD15D1" w:rsidRDefault="00EE2C0A" w:rsidP="00CD15D1">
            <w:pPr>
              <w:numPr>
                <w:ilvl w:val="0"/>
                <w:numId w:val="8"/>
              </w:numPr>
              <w:tabs>
                <w:tab w:val="clear" w:pos="720"/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Taksonomia celów kształcenia (cele ogólne i cele zoperacjonalizowane).</w:t>
            </w:r>
          </w:p>
          <w:p w:rsidR="00EE2C0A" w:rsidRPr="00CD15D1" w:rsidRDefault="00EE2C0A" w:rsidP="00CD15D1">
            <w:pPr>
              <w:numPr>
                <w:ilvl w:val="0"/>
                <w:numId w:val="8"/>
              </w:numPr>
              <w:tabs>
                <w:tab w:val="clear" w:pos="720"/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Cele w zakresie postaw</w:t>
            </w:r>
          </w:p>
          <w:p w:rsidR="00EE2C0A" w:rsidRPr="00CD15D1" w:rsidRDefault="00EE2C0A" w:rsidP="00CD15D1">
            <w:pPr>
              <w:numPr>
                <w:ilvl w:val="0"/>
                <w:numId w:val="8"/>
              </w:numPr>
              <w:tabs>
                <w:tab w:val="clear" w:pos="720"/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Treści kształcenia w programach nauczania, budowa podstawy programowej.</w:t>
            </w:r>
          </w:p>
          <w:p w:rsidR="00EE2C0A" w:rsidRPr="00CD15D1" w:rsidRDefault="00EE2C0A" w:rsidP="00CD15D1">
            <w:pPr>
              <w:numPr>
                <w:ilvl w:val="0"/>
                <w:numId w:val="8"/>
              </w:numPr>
              <w:tabs>
                <w:tab w:val="clear" w:pos="720"/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Problemowe nauczanie –uczenie się.</w:t>
            </w:r>
          </w:p>
          <w:p w:rsidR="00EE2C0A" w:rsidRPr="00CD15D1" w:rsidRDefault="00EE2C0A" w:rsidP="00CD15D1">
            <w:pPr>
              <w:numPr>
                <w:ilvl w:val="0"/>
                <w:numId w:val="8"/>
              </w:numPr>
              <w:tabs>
                <w:tab w:val="clear" w:pos="720"/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Metody, formy pracy i organizacja kształcenia.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9"/>
              </w:numPr>
              <w:tabs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Motywowanie uczniów do pracy na poszczególnych etapach lekcji.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9"/>
              </w:numPr>
              <w:tabs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Budowanie autorytetu nauczyciela i utrzymywanie dyscypliny w pracy na lekcji.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9"/>
              </w:numPr>
              <w:tabs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Ocena w procesie kształcenia (cechy, formy, ogólne kryteria, przedmiot i metody oceniania; błędy w ocenianiu).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9"/>
              </w:numPr>
              <w:tabs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Sprawdzanie i pomiar osiągnięć szkolnych.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9"/>
              </w:numPr>
              <w:tabs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Uwarunkowania powodzeń i niepowodzeń szkolnych.</w:t>
            </w:r>
          </w:p>
          <w:p w:rsidR="00EE2C0A" w:rsidRPr="00CD15D1" w:rsidRDefault="00EE2C0A" w:rsidP="00CD15D1">
            <w:pPr>
              <w:tabs>
                <w:tab w:val="num" w:pos="31"/>
              </w:tabs>
              <w:ind w:left="31" w:firstLine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Metody pracy badawczej nauczyciela (metoda obserwacji, eksperyment dydaktyczny, metody obserwacji i obserwacji uczestniczącej).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Dydaktyka literatury i języka polskiego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K_W17   P6S_WK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K_K03 P6S_KO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Podstawy programowe, programy, rozkłady materiału – analiza porównawcza.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Podręczniki szkolne do nauki języka polskiego (zawartość merytoryczna i obudowa dydaktyczna, funkcje podręcznika, ewaluacja).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Kryteria oceny oraz ewaluacja programu i podręcznika.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Struktura lekcji (fazy lekcji i ich zadania, formy notatki, praca domowa, transfer </w:t>
            </w:r>
          </w:p>
          <w:p w:rsidR="00EE2C0A" w:rsidRPr="00CD15D1" w:rsidRDefault="00EE2C0A" w:rsidP="00CD15D1">
            <w:pPr>
              <w:tabs>
                <w:tab w:val="num" w:pos="315"/>
              </w:tabs>
              <w:ind w:left="360"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       negatywny i pozytywny),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Rodzaje celów nauczania (ogólne, szczegółowe, operacyjne). Zasady operacjonalizacji </w:t>
            </w:r>
          </w:p>
          <w:p w:rsidR="00EE2C0A" w:rsidRPr="00CD15D1" w:rsidRDefault="00EE2C0A" w:rsidP="00CD15D1">
            <w:pPr>
              <w:tabs>
                <w:tab w:val="num" w:pos="315"/>
              </w:tabs>
              <w:ind w:left="360"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      celów.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Budowa scenariusza lekcji, ewaluacja.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Klasyfikacje metod nauczania.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Nauczanie problemowe i aktywizujące metody nauczania (np. metaplan, burza mózgów, dyskusja panelowa, drzewko decyzyjne, linia czasu, przekład intersemiotyczny, drama, gry dydaktyczne) oraz sprawdzania wiedzy.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Kryteria poprawności językowej, typologia błędów językowych, spójność tekstu, składniki recenzji pracy uczniowskiej.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hanging="68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Zasady poprawy błędów językowych i oceniania prac. 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0"/>
              </w:numPr>
              <w:tabs>
                <w:tab w:val="num" w:pos="315"/>
              </w:tabs>
              <w:ind w:left="31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Hospitacja lekcji, prowadzenie lekcji próbnej, przygotowanie do praktyki zawodowej w szkole podstawowej.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Praktyka śródroczna przedmiotowo-dydaktyczna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K_W17   P6S_WK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K_K03 P6S_KO</w:t>
            </w:r>
          </w:p>
        </w:tc>
        <w:tc>
          <w:tcPr>
            <w:tcW w:w="5528" w:type="dxa"/>
            <w:shd w:val="clear" w:color="auto" w:fill="auto"/>
          </w:tcPr>
          <w:p w:rsidR="00046CBD" w:rsidRPr="00CD15D1" w:rsidRDefault="00046CBD" w:rsidP="00CD15D1">
            <w:pPr>
              <w:pStyle w:val="Akapitzlist"/>
              <w:numPr>
                <w:ilvl w:val="0"/>
                <w:numId w:val="20"/>
              </w:numPr>
              <w:ind w:left="175" w:hanging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Omówienie celów, zadań i organizacji praktyki śródrocznej oraz opracowanie arkuszy obserwacji i ewaluacji lekcji hospitowanych i innych rodzajów zajęć dydaktycznych i wychowawczych.</w:t>
            </w:r>
          </w:p>
          <w:p w:rsidR="00046CBD" w:rsidRPr="00CD15D1" w:rsidRDefault="00046CBD" w:rsidP="00CD15D1">
            <w:pPr>
              <w:pStyle w:val="Akapitzlist"/>
              <w:numPr>
                <w:ilvl w:val="0"/>
                <w:numId w:val="20"/>
              </w:numPr>
              <w:ind w:left="175" w:hanging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Hospitacje różnego typu lekcji języka polskiego prowadzonych na II etapie edukacji, w tym w oddziałach integracyjnych, </w:t>
            </w:r>
            <w:proofErr w:type="gramStart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w  szkole</w:t>
            </w:r>
            <w:proofErr w:type="gramEnd"/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specjalnej oraz w szkołach dla uczniów ze specjalnymi potrzebami edukacyjnymi.</w:t>
            </w:r>
          </w:p>
          <w:p w:rsidR="00046CBD" w:rsidRPr="00CD15D1" w:rsidRDefault="00046CBD" w:rsidP="00CD15D1">
            <w:pPr>
              <w:pStyle w:val="Akapitzlist"/>
              <w:numPr>
                <w:ilvl w:val="0"/>
                <w:numId w:val="20"/>
              </w:numPr>
              <w:ind w:left="175" w:hanging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Zapoznanie się ze sposobami przygotowywania dokumentacji wymaganej w pracy z                            uczniami o specjalnych potrzebach edukacyjnych.</w:t>
            </w:r>
          </w:p>
          <w:p w:rsidR="00046CBD" w:rsidRPr="00CD15D1" w:rsidRDefault="00046CBD" w:rsidP="00CD15D1">
            <w:pPr>
              <w:pStyle w:val="Akapitzlist"/>
              <w:numPr>
                <w:ilvl w:val="0"/>
                <w:numId w:val="20"/>
              </w:numPr>
              <w:ind w:left="175" w:hanging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Zajęcia przygotowujące uczniów do konkursów i olimpiad przedmiotowych z zakresu języka polskiego.</w:t>
            </w:r>
          </w:p>
          <w:p w:rsidR="00EE2C0A" w:rsidRPr="00CD15D1" w:rsidRDefault="00046CBD" w:rsidP="00CD15D1">
            <w:pPr>
              <w:pStyle w:val="Akapitzlist"/>
              <w:numPr>
                <w:ilvl w:val="0"/>
                <w:numId w:val="20"/>
              </w:numPr>
              <w:ind w:left="175" w:hanging="17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Przygotowanie i prowadzenie samodzielnych zajęć (warsztatów tematycznych dla uczniów różnych klas) przez studentów.      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Emisja głosu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K_K03 P6S_KO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pStyle w:val="Akapitzlist"/>
              <w:numPr>
                <w:ilvl w:val="0"/>
                <w:numId w:val="11"/>
              </w:numPr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Emisja głosu – zagadnienia wstępne (komunikacja językowa a głos; emisja głosu – definicja, zasady prawidłowej emisji głosu; podstawowe terminy i pojęcia z zakresu emisji głosu; emisja głosu a dziedziny pokrewne).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1"/>
              </w:numPr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Anatomia i fizjologia aparatu mowy. Ćwiczenia relaksacyjne, oddechowe, fonacyjne oraz usprawniające motorykę narządów mowy.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1"/>
              </w:numPr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Profilaktyka i higiena głosu.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1"/>
              </w:numPr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Patologia głosu.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1"/>
              </w:numPr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Specyfika polskiej wymowy (norma ortofoniczna współczesnej polszczyzny i jej heterogeniczność; błąd fonetyczny i jego rodzaje; tendencje rozwojowe polskiej fonetyki).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1"/>
              </w:numPr>
              <w:suppressAutoHyphens/>
              <w:autoSpaceDN w:val="0"/>
              <w:ind w:left="284" w:hanging="284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Artykulacja głosek i grup głoskowych w języku polskim. Ćwiczenia artykulacyjne i dykcyjne.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1"/>
              </w:numPr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Akcent w polszczyźnie (akcent wyrazowy, akcent frazowy).</w:t>
            </w:r>
          </w:p>
          <w:p w:rsidR="00EE2C0A" w:rsidRPr="00CD15D1" w:rsidRDefault="00EE2C0A" w:rsidP="00CD15D1">
            <w:pPr>
              <w:pStyle w:val="Akapitzlist"/>
              <w:numPr>
                <w:ilvl w:val="0"/>
                <w:numId w:val="11"/>
              </w:numPr>
              <w:ind w:left="284" w:hanging="28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Interpretacja głosowa tekstu literackiego (warunki dobrej interpretacji głosowej tekstu literackiego; przygotowanie tekstu literackiego do interpretacji głosowej; przykładowe analizy utworów literackich; ćwiczenia interpretacyjne).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Krytyka wobec nowych mediów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Zjawisko konwergencji mediów / koegzystencja starych i nowych mediów / interaktywność; gatunki i formaty we współczesnych mediach; warsztat pracy krytyka w nowych mediach (źródła informacji, język i kompozycja materiałów krytycznych w sieci, redakcja tekstów internetowych – analiza wybranych przykładów); miejsce i rola krytyka literackiego wobec koncepcji mediów według Paula Levinsona tzw. nowych nowych mediów (Blogosfera, Wikipedia, YouTube, Facebook, Twitter, podcast, wideocast); nowe media a kultura (literatura i krytyka w nowych mediach – analiza wybranych case study).</w:t>
            </w: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Współczesne przeobrażenia kultury literackiej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K_W17   P6S_WK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6S_UU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Kultura literacka: w kręgu zasadniczych zagadnień i pojęć oraz jej współczesne przeobrażenia (kierunki, zakres).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Nadawca i problemy pisarza w XX wieku.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Pisarz w świetle przemian kultury literackiej XXI stulecia.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Geografia literacka wczoraj i dziś.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Współczesne formy instytucjonalizacji życia literackiego i ich rola w kształtowaniu kultury literackiej.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Cele i zadania krytyki literackiej. Krytyka literacka, jej rola i ścieżki komunikacji w nowym wieku. „Krytyka towarzysząca”.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Obiegi literackie w przeszłości i ich obecna sytuacja.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Kategoria pokolenia literackiego po 1989 roku wobec jej statusu w tradycji. Spory o „pokolenie”.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Szkoły i ugrupowania literackie w latach 1918-1989 i po cezurze 1989 roku.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Zagadnienie tzw. polityki kulturalnej oraz cenzury; literatura w II i III obiegu.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Współczesne problemy odbiorcy, publiczność literacka.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Kultura literacka na emigracji i poza krajem.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Polskojęzyczne życie literackie w Izraelu. Literatura tzw. III wariantu.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Wydawnictwa i wydawcy w warunkach PRL-u oraz w realiach wolnego rynku.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Czasopiśmiennictwo kulturalne i literackie form tradycyjnych.</w:t>
            </w:r>
          </w:p>
          <w:p w:rsidR="00EE2C0A" w:rsidRPr="00CD15D1" w:rsidRDefault="00EE2C0A" w:rsidP="00CD15D1">
            <w:pPr>
              <w:numPr>
                <w:ilvl w:val="0"/>
                <w:numId w:val="15"/>
              </w:numPr>
              <w:ind w:left="315" w:hanging="26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Liternet. Wyzwania nowych mediów.</w:t>
            </w:r>
          </w:p>
          <w:p w:rsidR="00EE2C0A" w:rsidRPr="00CD15D1" w:rsidRDefault="00EE2C0A" w:rsidP="00CD15D1">
            <w:pPr>
              <w:ind w:left="740" w:hanging="689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Sztuka pisania: gatunki literackie, użytkowe i naukowe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K_W17   P6S_WK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09088F" w:rsidRPr="00CD15D1" w:rsidRDefault="0009088F" w:rsidP="00EE7A57">
            <w:pPr>
              <w:pStyle w:val="Akapitzlist"/>
              <w:numPr>
                <w:ilvl w:val="0"/>
                <w:numId w:val="2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Sztuka felietonu: teoria i praktyka od Bolesława Prusa do Stefana Kisielewskiego.</w:t>
            </w:r>
          </w:p>
          <w:p w:rsidR="0009088F" w:rsidRPr="00CD15D1" w:rsidRDefault="0009088F" w:rsidP="00EE7A57">
            <w:pPr>
              <w:pStyle w:val="Akapitzlist"/>
              <w:numPr>
                <w:ilvl w:val="0"/>
                <w:numId w:val="2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Sztuka eseju i odmiany eseju.</w:t>
            </w:r>
          </w:p>
          <w:p w:rsidR="0009088F" w:rsidRPr="00CD15D1" w:rsidRDefault="0009088F" w:rsidP="00EE7A57">
            <w:pPr>
              <w:pStyle w:val="Akapitzlist"/>
              <w:numPr>
                <w:ilvl w:val="0"/>
                <w:numId w:val="2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Esej historyczny (wzór Paweł Jasienica)</w:t>
            </w:r>
            <w:r w:rsidR="00EE7A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09088F" w:rsidRPr="00CD15D1" w:rsidRDefault="0009088F" w:rsidP="00EE7A57">
            <w:pPr>
              <w:pStyle w:val="Akapitzlist"/>
              <w:numPr>
                <w:ilvl w:val="0"/>
                <w:numId w:val="2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Esej kulturoznawczo-poetycki (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Herbert  i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Stempowski)</w:t>
            </w:r>
            <w:r w:rsidR="00EE7A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09088F" w:rsidRPr="00CD15D1" w:rsidRDefault="0009088F" w:rsidP="00EE7A57">
            <w:pPr>
              <w:pStyle w:val="Akapitzlist"/>
              <w:numPr>
                <w:ilvl w:val="0"/>
                <w:numId w:val="2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Esej filozoficzny (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B.Miciński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="00EE7A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09088F" w:rsidRPr="00CD15D1" w:rsidRDefault="0009088F" w:rsidP="00EE7A57">
            <w:pPr>
              <w:pStyle w:val="Akapitzlist"/>
              <w:numPr>
                <w:ilvl w:val="0"/>
                <w:numId w:val="2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Komentarz polityczny, pamflet, polemika.</w:t>
            </w:r>
          </w:p>
          <w:p w:rsidR="0009088F" w:rsidRPr="00CD15D1" w:rsidRDefault="0009088F" w:rsidP="00EE7A57">
            <w:pPr>
              <w:pStyle w:val="Akapitzlist"/>
              <w:numPr>
                <w:ilvl w:val="0"/>
                <w:numId w:val="2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Strategia wypowiedzi krytycznej</w:t>
            </w:r>
            <w:r w:rsidR="00EE7A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09088F" w:rsidRPr="00CD15D1" w:rsidRDefault="0009088F" w:rsidP="00EE7A57">
            <w:pPr>
              <w:pStyle w:val="Akapitzlist"/>
              <w:numPr>
                <w:ilvl w:val="0"/>
                <w:numId w:val="2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Wypowiedź naukowa a funkcje estetyczne języka.</w:t>
            </w:r>
          </w:p>
          <w:p w:rsidR="0009088F" w:rsidRPr="00CD15D1" w:rsidRDefault="0009088F" w:rsidP="00EE7A57">
            <w:pPr>
              <w:pStyle w:val="Akapitzlist"/>
              <w:numPr>
                <w:ilvl w:val="0"/>
                <w:numId w:val="23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Gatunki dziennikarskie i wypowiedź publicystyczna</w:t>
            </w:r>
            <w:r w:rsidR="00EE7A5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EE2C0A" w:rsidRPr="00CD15D1" w:rsidRDefault="00EE2C0A" w:rsidP="00CD15D1">
            <w:pPr>
              <w:pStyle w:val="Akapitzlist"/>
              <w:ind w:left="315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Analiza dzieła wizualnego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CC430F" w:rsidRPr="00CD15D1" w:rsidRDefault="00CC430F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CC430F" w:rsidRPr="00CD15D1" w:rsidRDefault="00CC430F" w:rsidP="00EE7A57">
            <w:pPr>
              <w:pStyle w:val="Akapitzlist"/>
              <w:numPr>
                <w:ilvl w:val="0"/>
                <w:numId w:val="18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Warianty i formy sztuki wizualnej.</w:t>
            </w:r>
          </w:p>
          <w:p w:rsidR="00CC430F" w:rsidRPr="00CD15D1" w:rsidRDefault="00CC430F" w:rsidP="00EE7A57">
            <w:pPr>
              <w:pStyle w:val="Akapitzlist"/>
              <w:numPr>
                <w:ilvl w:val="0"/>
                <w:numId w:val="18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Rzeźba renesansowa, barokowa i manierystyczna.</w:t>
            </w:r>
          </w:p>
          <w:p w:rsidR="00CC430F" w:rsidRPr="00CD15D1" w:rsidRDefault="00CC430F" w:rsidP="00EE7A57">
            <w:pPr>
              <w:pStyle w:val="Akapitzlist"/>
              <w:numPr>
                <w:ilvl w:val="0"/>
                <w:numId w:val="18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Znaczenie koloru w dziele impresjonistycznym i ekspresjonistycznym.</w:t>
            </w:r>
          </w:p>
          <w:p w:rsidR="00CC430F" w:rsidRPr="00CD15D1" w:rsidRDefault="00CC430F" w:rsidP="00EE7A57">
            <w:pPr>
              <w:pStyle w:val="Akapitzlist"/>
              <w:numPr>
                <w:ilvl w:val="0"/>
                <w:numId w:val="18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Organizacja formalna dzieła kubistycznego i abstrakcyjnego.</w:t>
            </w:r>
          </w:p>
          <w:p w:rsidR="00CC430F" w:rsidRPr="00CD15D1" w:rsidRDefault="00CC430F" w:rsidP="00EE7A57">
            <w:pPr>
              <w:pStyle w:val="Akapitzlist"/>
              <w:numPr>
                <w:ilvl w:val="0"/>
                <w:numId w:val="18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Specyfika wizualna działań artystycznych: happening, performance, body-art.</w:t>
            </w:r>
          </w:p>
          <w:p w:rsidR="00CC430F" w:rsidRPr="00CD15D1" w:rsidRDefault="00CC430F" w:rsidP="00EE7A57">
            <w:pPr>
              <w:pStyle w:val="Akapitzlist"/>
              <w:numPr>
                <w:ilvl w:val="0"/>
                <w:numId w:val="18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Specyfika wizualna komiksu.</w:t>
            </w:r>
          </w:p>
          <w:p w:rsidR="00CC430F" w:rsidRPr="00CD15D1" w:rsidRDefault="00CC430F" w:rsidP="00EE7A57">
            <w:pPr>
              <w:pStyle w:val="Akapitzlist"/>
              <w:numPr>
                <w:ilvl w:val="0"/>
                <w:numId w:val="18"/>
              </w:numPr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Analiza wybranych dzieł sztuki filmowej.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FE6762">
        <w:trPr>
          <w:trHeight w:val="806"/>
        </w:trPr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Koncepcje i tendencje krytyki literackiej 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od XIX do XXI wieku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K_W17   P6S_WK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Zarys historii polskiej krytyki; podstawowe zagadnienia ogólne; zmiany zachodzące na przestrzeni czasów; źródła współczesnej krytyki; etapy rozwoju na gruncie polskim (m.in. krytyka romantyczna, pozytywistyczna, młodopolska, międzywojenna, socrealistyczna, personalistyczna, feministyczna, krytyka po przełomie 1989 r., dyskursy krytyczne przełomu XX i XXI wieku), tendencje i zjawiska, spory i dyskusje, konteksty; dzieła krytyczne; sylwetki kluczowych polskich krytyków i krótka charakterystyka ich poglądów.</w:t>
            </w:r>
          </w:p>
        </w:tc>
      </w:tr>
      <w:tr w:rsidR="00EE2C0A" w:rsidRPr="00CD15D1" w:rsidTr="00FE6762">
        <w:trPr>
          <w:trHeight w:val="806"/>
        </w:trPr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Koncepcje i tendencje krytyki sztuki 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od XIX do XXI wieku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K_W17   P6S_WK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K_U11 P6S_UK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CC430F" w:rsidRPr="00CD15D1" w:rsidRDefault="00CC430F" w:rsidP="00EE7A57">
            <w:p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430F" w:rsidRPr="00CD15D1" w:rsidRDefault="00CC430F" w:rsidP="00EE7A57">
            <w:pPr>
              <w:numPr>
                <w:ilvl w:val="0"/>
                <w:numId w:val="1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Krytyka artystów a krytyka profesjonalistów.</w:t>
            </w:r>
          </w:p>
          <w:p w:rsidR="00CC430F" w:rsidRPr="00CD15D1" w:rsidRDefault="00CC430F" w:rsidP="00EE7A57">
            <w:pPr>
              <w:numPr>
                <w:ilvl w:val="0"/>
                <w:numId w:val="1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Koncepcja krytyki artystycznej D. Diderota.</w:t>
            </w:r>
          </w:p>
          <w:p w:rsidR="00CC430F" w:rsidRPr="00CD15D1" w:rsidRDefault="00CC430F" w:rsidP="00EE7A57">
            <w:pPr>
              <w:numPr>
                <w:ilvl w:val="0"/>
                <w:numId w:val="1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Ch. Baudelaire i program krytyki romantycznej.</w:t>
            </w:r>
          </w:p>
          <w:p w:rsidR="00CC430F" w:rsidRPr="00CD15D1" w:rsidRDefault="00CC430F" w:rsidP="00EE7A57">
            <w:pPr>
              <w:numPr>
                <w:ilvl w:val="0"/>
                <w:numId w:val="1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E. Zola i „krytyka namiętna”.</w:t>
            </w:r>
          </w:p>
          <w:p w:rsidR="00CC430F" w:rsidRPr="00CD15D1" w:rsidRDefault="00CC430F" w:rsidP="00EE7A57">
            <w:pPr>
              <w:numPr>
                <w:ilvl w:val="0"/>
                <w:numId w:val="1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Stanisław Witkiewicz i program krytyki obiektywnej.</w:t>
            </w:r>
          </w:p>
          <w:p w:rsidR="00CC430F" w:rsidRPr="00CD15D1" w:rsidRDefault="00CC430F" w:rsidP="00EE7A57">
            <w:pPr>
              <w:numPr>
                <w:ilvl w:val="0"/>
                <w:numId w:val="1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Stanisław Przybyszewski. Refleksja krytyczna jako eksterioryzacja tajemnic duszy.</w:t>
            </w:r>
          </w:p>
          <w:p w:rsidR="00CC430F" w:rsidRPr="00CD15D1" w:rsidRDefault="00CC430F" w:rsidP="00EE7A57">
            <w:pPr>
              <w:numPr>
                <w:ilvl w:val="0"/>
                <w:numId w:val="1"/>
              </w:numPr>
              <w:ind w:left="317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Krytyka artystyczna wobec dokonań awangardy pierwszych dekad XX wieku.</w:t>
            </w:r>
          </w:p>
          <w:p w:rsidR="00CC430F" w:rsidRPr="00CD15D1" w:rsidRDefault="00CC430F" w:rsidP="00EE7A57">
            <w:pPr>
              <w:numPr>
                <w:ilvl w:val="0"/>
                <w:numId w:val="1"/>
              </w:numPr>
              <w:ind w:left="317" w:right="60" w:hanging="284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lastRenderedPageBreak/>
              <w:t>Sztuka w refleksji krytycznej Zbigniewa Herberta.</w:t>
            </w:r>
          </w:p>
          <w:p w:rsidR="00CC430F" w:rsidRPr="00CD15D1" w:rsidRDefault="00CC430F" w:rsidP="00EE7A57">
            <w:pPr>
              <w:numPr>
                <w:ilvl w:val="0"/>
                <w:numId w:val="1"/>
              </w:numPr>
              <w:ind w:left="317" w:right="60" w:hanging="284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Myśl o sztuce w pismach Józefa Czapskiego  </w:t>
            </w:r>
          </w:p>
          <w:p w:rsidR="00CC430F" w:rsidRPr="00CD15D1" w:rsidRDefault="00CC430F" w:rsidP="00EE7A57">
            <w:pPr>
              <w:numPr>
                <w:ilvl w:val="0"/>
                <w:numId w:val="1"/>
              </w:numPr>
              <w:ind w:left="317" w:right="60" w:hanging="284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Malarstwo w eseistyce Gustawa Herling-Grudzińskiego.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>Eseistyka w kulturze nowoczesnej i ponowoczesnej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6SUO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CC430F" w:rsidRPr="00CD15D1" w:rsidRDefault="00CC430F" w:rsidP="00CD15D1">
            <w:pPr>
              <w:pStyle w:val="Akapitzlist"/>
              <w:ind w:left="29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CC430F" w:rsidRPr="00CD15D1" w:rsidRDefault="00CC430F" w:rsidP="00EE7A57">
            <w:pPr>
              <w:pStyle w:val="Akapitzlist"/>
              <w:numPr>
                <w:ilvl w:val="1"/>
                <w:numId w:val="1"/>
              </w:numPr>
              <w:tabs>
                <w:tab w:val="clear" w:pos="1440"/>
                <w:tab w:val="num" w:pos="175"/>
              </w:tabs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Poetyka eseju.</w:t>
            </w:r>
          </w:p>
          <w:p w:rsidR="00CC430F" w:rsidRPr="00CD15D1" w:rsidRDefault="00CC430F" w:rsidP="00EE7A57">
            <w:pPr>
              <w:pStyle w:val="Akapitzlist"/>
              <w:numPr>
                <w:ilvl w:val="1"/>
                <w:numId w:val="1"/>
              </w:numPr>
              <w:tabs>
                <w:tab w:val="clear" w:pos="1440"/>
                <w:tab w:val="num" w:pos="175"/>
              </w:tabs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Historia gatunku.</w:t>
            </w:r>
          </w:p>
          <w:p w:rsidR="00CC430F" w:rsidRPr="00CD15D1" w:rsidRDefault="00CC430F" w:rsidP="00EE7A57">
            <w:pPr>
              <w:pStyle w:val="Akapitzlist"/>
              <w:numPr>
                <w:ilvl w:val="1"/>
                <w:numId w:val="1"/>
              </w:numPr>
              <w:tabs>
                <w:tab w:val="clear" w:pos="1440"/>
                <w:tab w:val="num" w:pos="175"/>
              </w:tabs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Twórczość eseistyczna wybranych autorów, m.in.: Stanisława Brzozowskiego, Bolesława Micińskiego, Jerzego Stempowskiego, Konstantego A. Jeleńskiego, Zbigniewa Herberta.</w:t>
            </w:r>
          </w:p>
          <w:p w:rsidR="00CC430F" w:rsidRPr="00CD15D1" w:rsidRDefault="00CC430F" w:rsidP="00EE7A57">
            <w:pPr>
              <w:pStyle w:val="Akapitzlist"/>
              <w:numPr>
                <w:ilvl w:val="1"/>
                <w:numId w:val="1"/>
              </w:numPr>
              <w:tabs>
                <w:tab w:val="clear" w:pos="1440"/>
                <w:tab w:val="num" w:pos="175"/>
              </w:tabs>
              <w:ind w:left="317" w:hanging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Esej – praktyka literacka.</w:t>
            </w:r>
          </w:p>
          <w:p w:rsidR="00EE2C0A" w:rsidRPr="00CD15D1" w:rsidRDefault="00EE2C0A" w:rsidP="00CD15D1">
            <w:pPr>
              <w:pStyle w:val="Akapitzlist"/>
              <w:ind w:left="29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E2C0A" w:rsidRPr="00CD15D1" w:rsidTr="00CF167F">
        <w:tc>
          <w:tcPr>
            <w:tcW w:w="2830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Biografika artystyczna</w:t>
            </w:r>
          </w:p>
        </w:tc>
        <w:tc>
          <w:tcPr>
            <w:tcW w:w="5529" w:type="dxa"/>
          </w:tcPr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K_W17   P6S_WK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K_K07 P6S_KR</w:t>
            </w:r>
          </w:p>
          <w:p w:rsidR="00EE2C0A" w:rsidRPr="00CD15D1" w:rsidRDefault="00EE2C0A" w:rsidP="00CD15D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</w:tcPr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O przedmiocie biografiki artystycznej. 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O celowości biografiki artystycznej.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„Śmierć autora” i narodziny dzieła według Rolanda Barthesa.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O potrzebie biografii. Bios i éthos. Od dzieła do twórcy. 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Biografia pisarza i jej ranga jako jednostki procesu historycznoliterackiego.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Biografia a interpretacja (nazwa osobowa autora).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Autobiografizm jako hipoteza konieczna; jako autokreacja.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Biografia artysty jako tekst artystyczny. Biografia artysty w piśmiennictwie polskim i obcym XIX i XX wieku // O biografii muzycznej.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Velazquez w ujęciu Ortegi y Gasseta. Goya w ujęciu Ortegi y Basseta.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Gertruda</w:t>
            </w:r>
            <w:proofErr w:type="spellEnd"/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Stein </w:t>
            </w:r>
            <w:proofErr w:type="spellStart"/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proofErr w:type="spellEnd"/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Pablo Picasso.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Emil Zola </w:t>
            </w:r>
            <w:proofErr w:type="spellStart"/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proofErr w:type="spellEnd"/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Eduard Manet </w:t>
            </w:r>
            <w:proofErr w:type="spellStart"/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lub</w:t>
            </w:r>
            <w:proofErr w:type="spellEnd"/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Baudelaire </w:t>
            </w:r>
            <w:proofErr w:type="spellStart"/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proofErr w:type="spellEnd"/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Delacroix.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Biografia artysty: S. Witkiewicza i jego koncepcja sztuki i krytyki artystycznej: pisarz i malarz, krytyk literacki i artystyczny, teoretyk sztuki (geneza społeczna estetyki Witkiewicza, hasło „nie co, ale jak”, estetyka Witkiewicza na tle epoki).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O sposobach widzenia, wartościowania, tworzenia biografii artysty wedle S. Witkiewicza: cykl artykułów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Malarstwo i krytyka u nas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(„Wędrowiec” 1884) oraz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Największy obraz Matejki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 xml:space="preserve"> („Wędrowiec” 1887). 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Witkiewicza portret artysty (sposób widzenia i wartościowania przy tworzeniu biografii artysty): Józef Chełmoński; Aleksander Gierymski; Jan Matejko, Juliusz Kossak, Henryk Siemiradzki.</w:t>
            </w:r>
          </w:p>
          <w:p w:rsidR="00EE2C0A" w:rsidRPr="00CD15D1" w:rsidRDefault="00EE2C0A" w:rsidP="00CD15D1">
            <w:pPr>
              <w:numPr>
                <w:ilvl w:val="0"/>
                <w:numId w:val="1"/>
              </w:numPr>
              <w:ind w:left="315" w:hanging="284"/>
              <w:rPr>
                <w:rFonts w:ascii="Times New Roman" w:hAnsi="Times New Roman" w:cs="Times New Roman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Sygietyńskiego koncepcja sztuki i krytyki artystycznej: „nie co, lecz jak”, czyli równorzędność wszelkich tematów, walka o „prawa obywatelstwa realnego typu ludzi, i natury polskiej w sztuce” (Sygietyńskiego wstęp do 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Albumu Maksa i Aleksandra Gi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CD15D1">
              <w:rPr>
                <w:rFonts w:ascii="Times New Roman" w:hAnsi="Times New Roman" w:cs="Times New Roman"/>
                <w:i/>
                <w:sz w:val="20"/>
                <w:szCs w:val="20"/>
              </w:rPr>
              <w:t>rymskich</w:t>
            </w:r>
            <w:r w:rsidRPr="00CD15D1">
              <w:rPr>
                <w:rFonts w:ascii="Times New Roman" w:hAnsi="Times New Roman" w:cs="Times New Roman"/>
                <w:sz w:val="20"/>
                <w:szCs w:val="20"/>
              </w:rPr>
              <w:t>; „Wędrowiec” 1886).</w:t>
            </w:r>
          </w:p>
          <w:p w:rsidR="00EE2C0A" w:rsidRPr="00CD15D1" w:rsidRDefault="00EE2C0A" w:rsidP="00CD15D1">
            <w:pPr>
              <w:pStyle w:val="Akapitzlist"/>
              <w:ind w:left="29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1264B" w:rsidRPr="00CD15D1" w:rsidTr="00AE0BCF">
        <w:tc>
          <w:tcPr>
            <w:tcW w:w="2830" w:type="dxa"/>
          </w:tcPr>
          <w:p w:rsidR="00F1264B" w:rsidRPr="00CD15D1" w:rsidRDefault="00F1264B" w:rsidP="00F1264B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 xml:space="preserve">Socjologia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kultury</w:t>
            </w:r>
          </w:p>
        </w:tc>
        <w:tc>
          <w:tcPr>
            <w:tcW w:w="5529" w:type="dxa"/>
          </w:tcPr>
          <w:p w:rsidR="00F1264B" w:rsidRPr="00CD15D1" w:rsidRDefault="00F1264B" w:rsidP="00F1264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F1264B" w:rsidRPr="00CD15D1" w:rsidRDefault="00F1264B" w:rsidP="00F1264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K_W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6S_WG</w:t>
            </w:r>
          </w:p>
          <w:p w:rsidR="00F1264B" w:rsidRPr="00CD15D1" w:rsidRDefault="00F1264B" w:rsidP="00F1264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K_U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6S_UW</w:t>
            </w:r>
          </w:p>
          <w:p w:rsidR="00F1264B" w:rsidRPr="00CD15D1" w:rsidRDefault="00F1264B" w:rsidP="00F1264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K_K</w:t>
            </w:r>
            <w:proofErr w:type="gramStart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  P</w:t>
            </w:r>
            <w:proofErr w:type="gramEnd"/>
            <w:r w:rsidRPr="00CD15D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6S_KK</w:t>
            </w:r>
          </w:p>
          <w:p w:rsidR="00F1264B" w:rsidRPr="00CD15D1" w:rsidRDefault="00F1264B" w:rsidP="00F1264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1264B" w:rsidRPr="00CD15D1" w:rsidRDefault="00F1264B" w:rsidP="00F1264B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auto"/>
            <w:vAlign w:val="center"/>
          </w:tcPr>
          <w:p w:rsidR="00F1264B" w:rsidRPr="00F1264B" w:rsidRDefault="00F1264B" w:rsidP="00F1264B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1. </w:t>
            </w:r>
            <w:r w:rsidRPr="00F1264B">
              <w:rPr>
                <w:rFonts w:ascii="Times" w:hAnsi="Times"/>
              </w:rPr>
              <w:t>Zadania socjologii kultury</w:t>
            </w:r>
          </w:p>
          <w:p w:rsidR="00F1264B" w:rsidRPr="00F1264B" w:rsidRDefault="00F1264B" w:rsidP="00F1264B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2. </w:t>
            </w:r>
            <w:r w:rsidRPr="00F1264B">
              <w:rPr>
                <w:rFonts w:ascii="Times" w:hAnsi="Times"/>
              </w:rPr>
              <w:t>Kultura a komunikowanie</w:t>
            </w:r>
          </w:p>
          <w:p w:rsidR="00F1264B" w:rsidRPr="00F1264B" w:rsidRDefault="00F1264B" w:rsidP="00F1264B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3. </w:t>
            </w:r>
            <w:r w:rsidRPr="00F1264B">
              <w:rPr>
                <w:rFonts w:ascii="Times" w:hAnsi="Times"/>
              </w:rPr>
              <w:t>Podstawy socjologicznego pojmowania kultury</w:t>
            </w:r>
          </w:p>
          <w:p w:rsidR="00F1264B" w:rsidRPr="00F1264B" w:rsidRDefault="00F1264B" w:rsidP="00F1264B">
            <w:pPr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Procesy nabywania kultury</w:t>
            </w:r>
          </w:p>
          <w:p w:rsidR="00F1264B" w:rsidRPr="00F1264B" w:rsidRDefault="00F1264B" w:rsidP="00F1264B">
            <w:pPr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Czynniki społeczno-kulturowe a osobowość</w:t>
            </w:r>
          </w:p>
          <w:p w:rsidR="00F1264B" w:rsidRPr="00F1264B" w:rsidRDefault="00F1264B" w:rsidP="00F1264B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 xml:space="preserve">Typologie osobowości </w:t>
            </w:r>
          </w:p>
          <w:p w:rsidR="00F1264B" w:rsidRPr="00F1264B" w:rsidRDefault="00F1264B" w:rsidP="00F1264B">
            <w:pPr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Uczestnictwo w kulturze i jego uwarunkowania</w:t>
            </w:r>
          </w:p>
          <w:p w:rsidR="00F1264B" w:rsidRPr="00F1264B" w:rsidRDefault="00F1264B" w:rsidP="00F1264B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Kultura masowa i kultura popularna</w:t>
            </w:r>
          </w:p>
          <w:p w:rsidR="00F1264B" w:rsidRPr="00F1264B" w:rsidRDefault="00F1264B" w:rsidP="00F1264B">
            <w:pPr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Społeczeństwo informacyjne</w:t>
            </w:r>
          </w:p>
          <w:p w:rsidR="00F1264B" w:rsidRPr="00F1264B" w:rsidRDefault="00F1264B" w:rsidP="00F1264B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Zróżnicowanie społeczne a zróżnicowanie kulturowe</w:t>
            </w:r>
          </w:p>
          <w:p w:rsidR="00F1264B" w:rsidRPr="00F1264B" w:rsidRDefault="00F1264B" w:rsidP="00F1264B">
            <w:pPr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Ocena i porównywanie kultur</w:t>
            </w:r>
          </w:p>
          <w:p w:rsidR="00F1264B" w:rsidRPr="00F1264B" w:rsidRDefault="00F1264B" w:rsidP="00F1264B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Dynamika kultury i życia społeczno-kulturowego</w:t>
            </w:r>
          </w:p>
          <w:p w:rsidR="00F1264B" w:rsidRPr="00F1264B" w:rsidRDefault="00F1264B" w:rsidP="00F1264B">
            <w:pPr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Zagadnienia socjologii sztuki</w:t>
            </w:r>
          </w:p>
          <w:p w:rsidR="00F1264B" w:rsidRPr="00F1264B" w:rsidRDefault="00F1264B" w:rsidP="00F1264B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Społeczne funkcje sztuki</w:t>
            </w:r>
          </w:p>
          <w:p w:rsidR="00F1264B" w:rsidRPr="00F1264B" w:rsidRDefault="00F1264B" w:rsidP="00F1264B">
            <w:pPr>
              <w:numPr>
                <w:ilvl w:val="0"/>
                <w:numId w:val="7"/>
              </w:numPr>
              <w:jc w:val="both"/>
              <w:rPr>
                <w:rFonts w:ascii="Times" w:hAnsi="Times"/>
              </w:rPr>
            </w:pPr>
            <w:r w:rsidRPr="00F1264B">
              <w:rPr>
                <w:rFonts w:ascii="Times" w:hAnsi="Times"/>
              </w:rPr>
              <w:t>System społeczno-kulturowy</w:t>
            </w:r>
          </w:p>
        </w:tc>
      </w:tr>
    </w:tbl>
    <w:p w:rsidR="00626C37" w:rsidRPr="00CD15D1" w:rsidRDefault="00626C37" w:rsidP="00CD15D1">
      <w:p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* wypełnia DJiOK</w:t>
      </w:r>
    </w:p>
    <w:p w:rsidR="00626C37" w:rsidRDefault="00626C37" w:rsidP="00CD15D1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F722E1" w:rsidRDefault="00F722E1" w:rsidP="00CD15D1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F722E1" w:rsidRDefault="00F722E1" w:rsidP="00CD15D1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F722E1" w:rsidRPr="00CD15D1" w:rsidRDefault="00F722E1" w:rsidP="00CD15D1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26C37" w:rsidRPr="00CD15D1" w:rsidRDefault="00626C37" w:rsidP="00CD15D1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…………………………………………………………..</w:t>
      </w:r>
    </w:p>
    <w:p w:rsidR="00626C37" w:rsidRPr="00CD15D1" w:rsidRDefault="00626C37" w:rsidP="00CD15D1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Podpis prodziekana/z-cy dyrektora </w:t>
      </w:r>
    </w:p>
    <w:p w:rsidR="00626C37" w:rsidRPr="00CD15D1" w:rsidRDefault="00626C37" w:rsidP="00CD15D1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D15D1">
        <w:rPr>
          <w:rFonts w:ascii="Times New Roman" w:hAnsi="Times New Roman" w:cs="Times New Roman"/>
          <w:color w:val="000000" w:themeColor="text1"/>
          <w:sz w:val="20"/>
          <w:szCs w:val="20"/>
        </w:rPr>
        <w:t>podstawowej jednostki organizacyjnej</w:t>
      </w:r>
    </w:p>
    <w:sectPr w:rsidR="00626C37" w:rsidRPr="00CD15D1" w:rsidSect="00A75EF7">
      <w:footerReference w:type="default" r:id="rId8"/>
      <w:pgSz w:w="16838" w:h="11906" w:orient="landscape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B7E21" w:rsidRDefault="001B7E21" w:rsidP="0009147F">
      <w:pPr>
        <w:spacing w:after="0" w:line="240" w:lineRule="auto"/>
      </w:pPr>
      <w:r>
        <w:separator/>
      </w:r>
    </w:p>
  </w:endnote>
  <w:endnote w:type="continuationSeparator" w:id="0">
    <w:p w:rsidR="001B7E21" w:rsidRDefault="001B7E21" w:rsidP="00091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136017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E6762" w:rsidRDefault="00FE6762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22E1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FE6762" w:rsidRDefault="00FE676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B7E21" w:rsidRDefault="001B7E21" w:rsidP="0009147F">
      <w:pPr>
        <w:spacing w:after="0" w:line="240" w:lineRule="auto"/>
      </w:pPr>
      <w:r>
        <w:separator/>
      </w:r>
    </w:p>
  </w:footnote>
  <w:footnote w:type="continuationSeparator" w:id="0">
    <w:p w:rsidR="001B7E21" w:rsidRDefault="001B7E21" w:rsidP="00091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8292A83"/>
    <w:multiLevelType w:val="hybridMultilevel"/>
    <w:tmpl w:val="79284EA6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3BA1"/>
    <w:multiLevelType w:val="hybridMultilevel"/>
    <w:tmpl w:val="2F22A296"/>
    <w:lvl w:ilvl="0" w:tplc="E8827F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E65D21"/>
    <w:multiLevelType w:val="hybridMultilevel"/>
    <w:tmpl w:val="409E7A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051D08"/>
    <w:multiLevelType w:val="hybridMultilevel"/>
    <w:tmpl w:val="BF4A1380"/>
    <w:lvl w:ilvl="0" w:tplc="E570B4FC">
      <w:start w:val="1"/>
      <w:numFmt w:val="decimal"/>
      <w:lvlText w:val="%1."/>
      <w:lvlJc w:val="left"/>
      <w:pPr>
        <w:ind w:left="675" w:hanging="360"/>
      </w:pPr>
    </w:lvl>
    <w:lvl w:ilvl="1" w:tplc="04150019">
      <w:start w:val="1"/>
      <w:numFmt w:val="lowerLetter"/>
      <w:lvlText w:val="%2."/>
      <w:lvlJc w:val="left"/>
      <w:pPr>
        <w:ind w:left="1395" w:hanging="360"/>
      </w:pPr>
    </w:lvl>
    <w:lvl w:ilvl="2" w:tplc="0415001B">
      <w:start w:val="1"/>
      <w:numFmt w:val="lowerRoman"/>
      <w:lvlText w:val="%3."/>
      <w:lvlJc w:val="right"/>
      <w:pPr>
        <w:ind w:left="2115" w:hanging="180"/>
      </w:pPr>
    </w:lvl>
    <w:lvl w:ilvl="3" w:tplc="0415000F">
      <w:start w:val="1"/>
      <w:numFmt w:val="decimal"/>
      <w:lvlText w:val="%4."/>
      <w:lvlJc w:val="left"/>
      <w:pPr>
        <w:ind w:left="2835" w:hanging="360"/>
      </w:pPr>
    </w:lvl>
    <w:lvl w:ilvl="4" w:tplc="04150019">
      <w:start w:val="1"/>
      <w:numFmt w:val="lowerLetter"/>
      <w:lvlText w:val="%5."/>
      <w:lvlJc w:val="left"/>
      <w:pPr>
        <w:ind w:left="3555" w:hanging="360"/>
      </w:pPr>
    </w:lvl>
    <w:lvl w:ilvl="5" w:tplc="0415001B">
      <w:start w:val="1"/>
      <w:numFmt w:val="lowerRoman"/>
      <w:lvlText w:val="%6."/>
      <w:lvlJc w:val="right"/>
      <w:pPr>
        <w:ind w:left="4275" w:hanging="180"/>
      </w:pPr>
    </w:lvl>
    <w:lvl w:ilvl="6" w:tplc="0415000F">
      <w:start w:val="1"/>
      <w:numFmt w:val="decimal"/>
      <w:lvlText w:val="%7."/>
      <w:lvlJc w:val="left"/>
      <w:pPr>
        <w:ind w:left="4995" w:hanging="360"/>
      </w:pPr>
    </w:lvl>
    <w:lvl w:ilvl="7" w:tplc="04150019">
      <w:start w:val="1"/>
      <w:numFmt w:val="lowerLetter"/>
      <w:lvlText w:val="%8."/>
      <w:lvlJc w:val="left"/>
      <w:pPr>
        <w:ind w:left="5715" w:hanging="360"/>
      </w:pPr>
    </w:lvl>
    <w:lvl w:ilvl="8" w:tplc="0415001B">
      <w:start w:val="1"/>
      <w:numFmt w:val="lowerRoman"/>
      <w:lvlText w:val="%9."/>
      <w:lvlJc w:val="right"/>
      <w:pPr>
        <w:ind w:left="6435" w:hanging="180"/>
      </w:pPr>
    </w:lvl>
  </w:abstractNum>
  <w:abstractNum w:abstractNumId="6" w15:restartNumberingAfterBreak="0">
    <w:nsid w:val="142B6029"/>
    <w:multiLevelType w:val="hybridMultilevel"/>
    <w:tmpl w:val="8A88F0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181469C1"/>
    <w:multiLevelType w:val="hybridMultilevel"/>
    <w:tmpl w:val="EB06D2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F11B05"/>
    <w:multiLevelType w:val="hybridMultilevel"/>
    <w:tmpl w:val="93161982"/>
    <w:lvl w:ilvl="0" w:tplc="0FF46DF4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5" w:hanging="360"/>
      </w:pPr>
    </w:lvl>
    <w:lvl w:ilvl="2" w:tplc="0415001B" w:tentative="1">
      <w:start w:val="1"/>
      <w:numFmt w:val="lowerRoman"/>
      <w:lvlText w:val="%3."/>
      <w:lvlJc w:val="right"/>
      <w:pPr>
        <w:ind w:left="2115" w:hanging="180"/>
      </w:pPr>
    </w:lvl>
    <w:lvl w:ilvl="3" w:tplc="0415000F" w:tentative="1">
      <w:start w:val="1"/>
      <w:numFmt w:val="decimal"/>
      <w:lvlText w:val="%4."/>
      <w:lvlJc w:val="left"/>
      <w:pPr>
        <w:ind w:left="2835" w:hanging="360"/>
      </w:pPr>
    </w:lvl>
    <w:lvl w:ilvl="4" w:tplc="04150019" w:tentative="1">
      <w:start w:val="1"/>
      <w:numFmt w:val="lowerLetter"/>
      <w:lvlText w:val="%5."/>
      <w:lvlJc w:val="left"/>
      <w:pPr>
        <w:ind w:left="3555" w:hanging="360"/>
      </w:pPr>
    </w:lvl>
    <w:lvl w:ilvl="5" w:tplc="0415001B" w:tentative="1">
      <w:start w:val="1"/>
      <w:numFmt w:val="lowerRoman"/>
      <w:lvlText w:val="%6."/>
      <w:lvlJc w:val="right"/>
      <w:pPr>
        <w:ind w:left="4275" w:hanging="180"/>
      </w:pPr>
    </w:lvl>
    <w:lvl w:ilvl="6" w:tplc="0415000F" w:tentative="1">
      <w:start w:val="1"/>
      <w:numFmt w:val="decimal"/>
      <w:lvlText w:val="%7."/>
      <w:lvlJc w:val="left"/>
      <w:pPr>
        <w:ind w:left="4995" w:hanging="360"/>
      </w:pPr>
    </w:lvl>
    <w:lvl w:ilvl="7" w:tplc="04150019" w:tentative="1">
      <w:start w:val="1"/>
      <w:numFmt w:val="lowerLetter"/>
      <w:lvlText w:val="%8."/>
      <w:lvlJc w:val="left"/>
      <w:pPr>
        <w:ind w:left="5715" w:hanging="360"/>
      </w:pPr>
    </w:lvl>
    <w:lvl w:ilvl="8" w:tplc="0415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9" w15:restartNumberingAfterBreak="0">
    <w:nsid w:val="252B27F9"/>
    <w:multiLevelType w:val="hybridMultilevel"/>
    <w:tmpl w:val="4BB6EE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C128CC"/>
    <w:multiLevelType w:val="hybridMultilevel"/>
    <w:tmpl w:val="E1AAF2D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6D12CA0"/>
    <w:multiLevelType w:val="hybridMultilevel"/>
    <w:tmpl w:val="0F663A8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7B14BB5"/>
    <w:multiLevelType w:val="hybridMultilevel"/>
    <w:tmpl w:val="3D66FF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425E8D"/>
    <w:multiLevelType w:val="hybridMultilevel"/>
    <w:tmpl w:val="6766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B566F7"/>
    <w:multiLevelType w:val="hybridMultilevel"/>
    <w:tmpl w:val="E392D6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0F3C52"/>
    <w:multiLevelType w:val="hybridMultilevel"/>
    <w:tmpl w:val="FEAA8C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E255B7"/>
    <w:multiLevelType w:val="hybridMultilevel"/>
    <w:tmpl w:val="8466CF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33B5465"/>
    <w:multiLevelType w:val="hybridMultilevel"/>
    <w:tmpl w:val="99CE09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8449C6"/>
    <w:multiLevelType w:val="multilevel"/>
    <w:tmpl w:val="9886CE6C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="Times New Roman" w:hint="default"/>
        <w:b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19" w15:restartNumberingAfterBreak="0">
    <w:nsid w:val="5E801360"/>
    <w:multiLevelType w:val="multilevel"/>
    <w:tmpl w:val="EEF6E3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141A33"/>
    <w:multiLevelType w:val="hybridMultilevel"/>
    <w:tmpl w:val="F6965DE8"/>
    <w:lvl w:ilvl="0" w:tplc="0415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74756C2"/>
    <w:multiLevelType w:val="hybridMultilevel"/>
    <w:tmpl w:val="22B87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B469DD"/>
    <w:multiLevelType w:val="hybridMultilevel"/>
    <w:tmpl w:val="7706C6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3362DA4"/>
    <w:multiLevelType w:val="hybridMultilevel"/>
    <w:tmpl w:val="771269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232EFD"/>
    <w:multiLevelType w:val="hybridMultilevel"/>
    <w:tmpl w:val="BF4AF5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0"/>
  </w:num>
  <w:num w:numId="8">
    <w:abstractNumId w:val="3"/>
  </w:num>
  <w:num w:numId="9">
    <w:abstractNumId w:val="2"/>
  </w:num>
  <w:num w:numId="10">
    <w:abstractNumId w:val="21"/>
  </w:num>
  <w:num w:numId="11">
    <w:abstractNumId w:val="18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7"/>
  </w:num>
  <w:num w:numId="20">
    <w:abstractNumId w:val="23"/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  <w:num w:numId="23">
    <w:abstractNumId w:val="8"/>
  </w:num>
  <w:num w:numId="24">
    <w:abstractNumId w:val="1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C37"/>
    <w:rsid w:val="0000622D"/>
    <w:rsid w:val="00046A6D"/>
    <w:rsid w:val="00046CBD"/>
    <w:rsid w:val="00076E53"/>
    <w:rsid w:val="00082324"/>
    <w:rsid w:val="0009088F"/>
    <w:rsid w:val="0009147F"/>
    <w:rsid w:val="000918A2"/>
    <w:rsid w:val="00092F9B"/>
    <w:rsid w:val="000A0B6D"/>
    <w:rsid w:val="000B0426"/>
    <w:rsid w:val="000C7CF3"/>
    <w:rsid w:val="00113676"/>
    <w:rsid w:val="0012384A"/>
    <w:rsid w:val="0012578E"/>
    <w:rsid w:val="00126B55"/>
    <w:rsid w:val="00167A25"/>
    <w:rsid w:val="001803AB"/>
    <w:rsid w:val="00194F4D"/>
    <w:rsid w:val="001A2B9B"/>
    <w:rsid w:val="001B7E21"/>
    <w:rsid w:val="002024F9"/>
    <w:rsid w:val="00240E58"/>
    <w:rsid w:val="002443AC"/>
    <w:rsid w:val="00247338"/>
    <w:rsid w:val="002577ED"/>
    <w:rsid w:val="00270010"/>
    <w:rsid w:val="002852B4"/>
    <w:rsid w:val="002A2552"/>
    <w:rsid w:val="002A3C30"/>
    <w:rsid w:val="002A44E1"/>
    <w:rsid w:val="002B430F"/>
    <w:rsid w:val="002D64E1"/>
    <w:rsid w:val="002F4AB5"/>
    <w:rsid w:val="002F4C9C"/>
    <w:rsid w:val="00303EAF"/>
    <w:rsid w:val="00313AF5"/>
    <w:rsid w:val="003764BC"/>
    <w:rsid w:val="003831C2"/>
    <w:rsid w:val="003834CA"/>
    <w:rsid w:val="003B5543"/>
    <w:rsid w:val="003B636C"/>
    <w:rsid w:val="003B7938"/>
    <w:rsid w:val="003C2603"/>
    <w:rsid w:val="003C3310"/>
    <w:rsid w:val="003D089F"/>
    <w:rsid w:val="003D1CEE"/>
    <w:rsid w:val="003F091E"/>
    <w:rsid w:val="00404D7B"/>
    <w:rsid w:val="004068EB"/>
    <w:rsid w:val="00410666"/>
    <w:rsid w:val="00432E3D"/>
    <w:rsid w:val="00442EC2"/>
    <w:rsid w:val="0044422B"/>
    <w:rsid w:val="00494803"/>
    <w:rsid w:val="004D78F4"/>
    <w:rsid w:val="004F4495"/>
    <w:rsid w:val="0051107E"/>
    <w:rsid w:val="00514356"/>
    <w:rsid w:val="00531CDD"/>
    <w:rsid w:val="00536AE3"/>
    <w:rsid w:val="0055187D"/>
    <w:rsid w:val="005575CC"/>
    <w:rsid w:val="00567E65"/>
    <w:rsid w:val="005807F1"/>
    <w:rsid w:val="005865DB"/>
    <w:rsid w:val="005A28A2"/>
    <w:rsid w:val="005C4620"/>
    <w:rsid w:val="00617169"/>
    <w:rsid w:val="0062682B"/>
    <w:rsid w:val="00626C37"/>
    <w:rsid w:val="006278E1"/>
    <w:rsid w:val="00670C77"/>
    <w:rsid w:val="006871E3"/>
    <w:rsid w:val="006B6893"/>
    <w:rsid w:val="006C07DD"/>
    <w:rsid w:val="006C5986"/>
    <w:rsid w:val="006D53A6"/>
    <w:rsid w:val="006E60FA"/>
    <w:rsid w:val="006E6C59"/>
    <w:rsid w:val="006F1625"/>
    <w:rsid w:val="006F2023"/>
    <w:rsid w:val="006F27C4"/>
    <w:rsid w:val="007046AD"/>
    <w:rsid w:val="00704F2E"/>
    <w:rsid w:val="00713AD9"/>
    <w:rsid w:val="007149B1"/>
    <w:rsid w:val="00714E61"/>
    <w:rsid w:val="00721796"/>
    <w:rsid w:val="00725149"/>
    <w:rsid w:val="007257FF"/>
    <w:rsid w:val="007318C5"/>
    <w:rsid w:val="00736AFF"/>
    <w:rsid w:val="007742A6"/>
    <w:rsid w:val="007859EC"/>
    <w:rsid w:val="0079459C"/>
    <w:rsid w:val="007A0F82"/>
    <w:rsid w:val="007A374F"/>
    <w:rsid w:val="007C04DF"/>
    <w:rsid w:val="007E51EB"/>
    <w:rsid w:val="007F0717"/>
    <w:rsid w:val="007F2656"/>
    <w:rsid w:val="008114AE"/>
    <w:rsid w:val="00815758"/>
    <w:rsid w:val="00835534"/>
    <w:rsid w:val="00837CBE"/>
    <w:rsid w:val="00855A25"/>
    <w:rsid w:val="008922AE"/>
    <w:rsid w:val="008A6C99"/>
    <w:rsid w:val="008B282E"/>
    <w:rsid w:val="008B7A2A"/>
    <w:rsid w:val="008C1AEA"/>
    <w:rsid w:val="008C6257"/>
    <w:rsid w:val="008D492A"/>
    <w:rsid w:val="008F4704"/>
    <w:rsid w:val="00912BCD"/>
    <w:rsid w:val="00934DC0"/>
    <w:rsid w:val="009359C8"/>
    <w:rsid w:val="00946D8C"/>
    <w:rsid w:val="00964E83"/>
    <w:rsid w:val="00983839"/>
    <w:rsid w:val="00994B33"/>
    <w:rsid w:val="009A47C7"/>
    <w:rsid w:val="009A53EE"/>
    <w:rsid w:val="009A7BF4"/>
    <w:rsid w:val="009B0A2C"/>
    <w:rsid w:val="009B5AF9"/>
    <w:rsid w:val="009B6077"/>
    <w:rsid w:val="009B74E7"/>
    <w:rsid w:val="009D3429"/>
    <w:rsid w:val="009F1222"/>
    <w:rsid w:val="009F1A17"/>
    <w:rsid w:val="009F4FCB"/>
    <w:rsid w:val="00A16312"/>
    <w:rsid w:val="00A21E6E"/>
    <w:rsid w:val="00A2439C"/>
    <w:rsid w:val="00A24719"/>
    <w:rsid w:val="00A60D51"/>
    <w:rsid w:val="00A71837"/>
    <w:rsid w:val="00A75EF7"/>
    <w:rsid w:val="00A93814"/>
    <w:rsid w:val="00AB49C2"/>
    <w:rsid w:val="00AC54E6"/>
    <w:rsid w:val="00AC6C9E"/>
    <w:rsid w:val="00AE568A"/>
    <w:rsid w:val="00AF451A"/>
    <w:rsid w:val="00AF63F1"/>
    <w:rsid w:val="00B265B2"/>
    <w:rsid w:val="00B95DFD"/>
    <w:rsid w:val="00B96D5E"/>
    <w:rsid w:val="00BA6E72"/>
    <w:rsid w:val="00BB1189"/>
    <w:rsid w:val="00BB3F7B"/>
    <w:rsid w:val="00BB72AB"/>
    <w:rsid w:val="00BC3979"/>
    <w:rsid w:val="00BC7A8B"/>
    <w:rsid w:val="00BD30E9"/>
    <w:rsid w:val="00BE2834"/>
    <w:rsid w:val="00BE4A28"/>
    <w:rsid w:val="00C016D9"/>
    <w:rsid w:val="00C04AA2"/>
    <w:rsid w:val="00C05645"/>
    <w:rsid w:val="00C45B5A"/>
    <w:rsid w:val="00C73206"/>
    <w:rsid w:val="00C92D85"/>
    <w:rsid w:val="00CA7CFB"/>
    <w:rsid w:val="00CB6248"/>
    <w:rsid w:val="00CC3A06"/>
    <w:rsid w:val="00CC430F"/>
    <w:rsid w:val="00CD15D1"/>
    <w:rsid w:val="00CE011F"/>
    <w:rsid w:val="00CE0C99"/>
    <w:rsid w:val="00CF167F"/>
    <w:rsid w:val="00D25C6E"/>
    <w:rsid w:val="00D34653"/>
    <w:rsid w:val="00D3632B"/>
    <w:rsid w:val="00D42EBB"/>
    <w:rsid w:val="00D461F9"/>
    <w:rsid w:val="00D47701"/>
    <w:rsid w:val="00D60433"/>
    <w:rsid w:val="00D6357D"/>
    <w:rsid w:val="00D65956"/>
    <w:rsid w:val="00D7104F"/>
    <w:rsid w:val="00D83564"/>
    <w:rsid w:val="00D92C0B"/>
    <w:rsid w:val="00D934F8"/>
    <w:rsid w:val="00D93798"/>
    <w:rsid w:val="00D962C9"/>
    <w:rsid w:val="00D97660"/>
    <w:rsid w:val="00DA6B9C"/>
    <w:rsid w:val="00DB6582"/>
    <w:rsid w:val="00DB6CB7"/>
    <w:rsid w:val="00DB7D69"/>
    <w:rsid w:val="00DF62C7"/>
    <w:rsid w:val="00E161FB"/>
    <w:rsid w:val="00E31148"/>
    <w:rsid w:val="00E473B3"/>
    <w:rsid w:val="00E73DF7"/>
    <w:rsid w:val="00E90C4D"/>
    <w:rsid w:val="00E97B8F"/>
    <w:rsid w:val="00EA0219"/>
    <w:rsid w:val="00EA463A"/>
    <w:rsid w:val="00EB64A6"/>
    <w:rsid w:val="00EB7F32"/>
    <w:rsid w:val="00EE2C0A"/>
    <w:rsid w:val="00EE7A57"/>
    <w:rsid w:val="00F00E98"/>
    <w:rsid w:val="00F12648"/>
    <w:rsid w:val="00F1264B"/>
    <w:rsid w:val="00F722E1"/>
    <w:rsid w:val="00F87BD7"/>
    <w:rsid w:val="00F93452"/>
    <w:rsid w:val="00F949FA"/>
    <w:rsid w:val="00FA14FA"/>
    <w:rsid w:val="00FB0B8F"/>
    <w:rsid w:val="00FC68B7"/>
    <w:rsid w:val="00FD0A12"/>
    <w:rsid w:val="00FD455C"/>
    <w:rsid w:val="00FE43A9"/>
    <w:rsid w:val="00FE599B"/>
    <w:rsid w:val="00FE6762"/>
    <w:rsid w:val="00FF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76817"/>
  <w15:chartTrackingRefBased/>
  <w15:docId w15:val="{524D4773-C74A-4C11-8D88-B525151D4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26C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626C3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626C3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26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6C3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914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147F"/>
  </w:style>
  <w:style w:type="paragraph" w:styleId="Stopka">
    <w:name w:val="footer"/>
    <w:basedOn w:val="Normalny"/>
    <w:link w:val="StopkaZnak"/>
    <w:uiPriority w:val="99"/>
    <w:unhideWhenUsed/>
    <w:rsid w:val="000914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147F"/>
  </w:style>
  <w:style w:type="paragraph" w:styleId="Tekstpodstawowy">
    <w:name w:val="Body Text"/>
    <w:basedOn w:val="Normalny"/>
    <w:link w:val="TekstpodstawowyZnak"/>
    <w:semiHidden/>
    <w:unhideWhenUsed/>
    <w:rsid w:val="00EB64A6"/>
    <w:pPr>
      <w:suppressAutoHyphens/>
      <w:spacing w:after="120" w:line="256" w:lineRule="auto"/>
    </w:pPr>
    <w:rPr>
      <w:rFonts w:ascii="Calibri" w:eastAsia="SimSun" w:hAnsi="Calibri" w:cs="Times New Roman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B64A6"/>
    <w:rPr>
      <w:rFonts w:ascii="Calibri" w:eastAsia="SimSun" w:hAnsi="Calibri" w:cs="Times New Roman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D6357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D6357D"/>
  </w:style>
  <w:style w:type="paragraph" w:styleId="NormalnyWeb">
    <w:name w:val="Normal (Web)"/>
    <w:basedOn w:val="Normalny"/>
    <w:rsid w:val="002577E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C45B5A"/>
    <w:pPr>
      <w:spacing w:after="120"/>
    </w:pPr>
    <w:rPr>
      <w:rFonts w:ascii="Calibri" w:eastAsia="Calibri" w:hAnsi="Calibri" w:cs="Times New Roman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C45B5A"/>
    <w:rPr>
      <w:rFonts w:ascii="Calibri" w:eastAsia="Calibri" w:hAnsi="Calibri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7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3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4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4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9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8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2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8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6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3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9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6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8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4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0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7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8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0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4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7B99D-9655-4CE3-A81D-8E79F2D13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6898</Words>
  <Characters>41389</Characters>
  <Application>Microsoft Office Word</Application>
  <DocSecurity>0</DocSecurity>
  <Lines>344</Lines>
  <Paragraphs>96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48191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Microsoft Office User</cp:lastModifiedBy>
  <cp:revision>2</cp:revision>
  <cp:lastPrinted>2019-06-26T07:56:00Z</cp:lastPrinted>
  <dcterms:created xsi:type="dcterms:W3CDTF">2020-11-24T18:08:00Z</dcterms:created>
  <dcterms:modified xsi:type="dcterms:W3CDTF">2020-11-24T18:08:00Z</dcterms:modified>
</cp:coreProperties>
</file>